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36.2016.122 vom 21. Februar 2017</w:t>
      </w:r>
    </w:p>
    <w:p>
      <w:r>
        <w:t>TI Tribunale d'appello, 2017-02-21, IT</w:t>
      </w:r>
    </w:p>
    <w:p>
      <w:r>
        <w:rPr>
          <w:b/>
        </w:rPr>
        <w:t xml:space="preserve">Quelle: </w:t>
      </w:r>
      <w:r>
        <w:t>https://mcp.opencaselaw.ch/entscheid/ti_gerichte_36.2016.122_d20170221</w:t>
      </w:r>
    </w:p>
    <w:p>
      <w:r>
        <w:t>FR: TI_GERICHTE 36.2016.122 du 21 février 2017</w:t>
      </w:r>
    </w:p>
    <w:p>
      <w:r>
        <w:t>IT: TI_GERICHTE 36.2016.122 del 21 febbraio 2017</w:t>
      </w:r>
    </w:p>
    <w:p>
      <w:pPr>
        <w:pStyle w:val="Heading2"/>
      </w:pPr>
      <w:r>
        <w:t>Regeste</w:t>
      </w:r>
    </w:p>
    <w:p>
      <w:r>
        <w:t>RIPAM. Concubinato: coppia composta da persone dello stesso sesso. Relazione stabile che conduce a ritenere un'UR unica</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FABIO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ritenuto tale cumulo in contrasto con senso e scopo dell’art. 65 cpv. 1 LAMal. 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nelle STCA 36.2014.78 del 2 febbraio 2015; STCA 36.2015.29 del 13 agosto 2015 e STCA 36.2015.80 del 15 febbraio 2016; 36.2016.4 del 24 marzo 2016, 36.2016.11 del 18 aprile 2016, 36.2016.17 del 23 maggio 2016 e 36.2016.26 del 4 maggio 2016,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10a RLCAMal e 2a RLaps), sia per lo scopo stesso che si prefigge la legge sull’armonizzazione e il coordinamento delle prestazioni sociali. Sarebbe scioccante applicare, all’ambito della riduzione dei premi dell’assicurazione malattie coordinata dalla Laps, un concetto di convivenza stabile diverso. Condividere la propria esistenza, gli affetti, in una relazione intensa, duratura, rapportabile a quella coniugale, impone, a livello di RIPAM, come per l’applicazione della Laps, di considerare l’unità di riferimento composta dai conviventi stabili. In concreto il ricorrente e il convivente signor __________ dal 2001 condividono la loro esistenza, intrattengono una relazione sentimentale (come definita in corso d’udienza). Essi si prestano reciproco aiuto condividendo in particolare l’appartamento in cui la coppia vive da anni. Con i suoi modesti redditi, in particolare se considerati al netto delle spese legali obbligatorie (premio cassa malati a suo carico e contributi AVS/AI/IPG), il ricorrente non consegue un reddito minimo che consenta una vita decorosa, siccome inferiore ai minimi vitali fissata dalla CEF. Va quindi esaminato se questa convivenza, duratura, intensa, profonda e radicata, adempie i requisiti dell’art. 26 cpv. 4 LCAMal e dell’art. 10a lett. b) rispettivamente c) RLCAMal alla luce del fatto che la condizione legale della convivenza è conforme alla giurisprudenza federale. 2.19.   Nel caso in esame, non diversamente dai casi recentemente esaminati recentemente da questo TCA (STCA 36.2014.78 del 2 febbraio 2015; STCA 36.2015.29 del 13 agosto 2015 e STCA 36.2015.80 del 15 febbraio 2016; 36.2016.4 del 24 marzo 2016, 36.2016.11 del 18 aprile 2016, 36.2016.17 del 23 maggio 2016 e 36.2016.26 del 4 maggio 2016), la convivenza va senza dubbio ritenuta stabile e tale da imporre il cumulo dei redditi in ottica di RIPAM tra i due conviventi che formano un’unica UR. Come indicato il ricorrente e __________ convivono da ben più di dieci anni, come ammesso in sede d’udienza, la loro è una relazione affettiva profonda, la coppia non condivide solo l’alloggio ma si sostiene, come palesano i modesti redditi del qui ricorrente. Dall’istruttoria risulta dunque che l'unione tra RI 1 e __________ è fondata su base sentimentale, è intensa, dura da molto tempo e ha riverberi economici. Gli elementi raccolti agli atti, impongono di ritenere la convivenza stabile. Occorre ora verificare se un concubinato possa essere ritenuto anche alla presenza di due persone del medesimo sesso, ciò che la giurisprudenza federale sembrava negare prima della vigenza della legge (1 gennaio 2007) sull’unione registrata delle coppie omosessuali (DTF 109 II 15 consid. 1b). L’entrata in vigore di questa legge, che fornisce alle coppie del medesimo sesso la possibilità di avere un quadro giuridico del tutto simile a quello matrimoniale, e l’evoluzione dei tempi (il concubinato è stato represso penalmente da norme sanzionatorie cantonali riservate dall’art. 335 cpv. 2 CPS fino agli anni settanta in molti cantoni; il Vallese è stato l’ultimo cantone a abrogare la sanzione penale per i concubini nel 1995, da li in poi il concubinato è stato non solo tollerato ma riconosciuto e ritenuto a diversi livelli), non preclude la possibilità delle coppie del medesimo sesso, che non intendano o non possano procedere alla registrazione del loro partenariato secondo la LUD, di convivere condividendo la loro esistenza in un concubinato. In altre parole va riconosciuto anche alle coppie del medesimo sesso di costituire una coppia concubina che condivide una relazione spirituale, sessuale, di desco e di tetto, come evoca la giurisprudenza più recente del Tribunale federale (DTF 134 V 369 consid. 6.1.1. e 6.3.) e come ammette la dottrina dominante in materia (per tutti si veda il contributo di Pascal Pichonnaz, Le partenariat enregistré: sa nature et ses effets, in RDS 2005 p. 398 e seguenti). Non vi è motivo, in questa sede, per escludere il concubinato tra persone del medesimo sesso, tra quelli annoverati all’art. 26 cpv. 4 LCAMal. RI 1 e __________ formano un’unità di riferimento ai sensi dell’art. 26 cpv. 4 LCAMal così come precisato dall’art. 10a RLCAMal. 2.20.   Nelle STCA 36.2015.29 e 36.2014.78 (citate in precedenza), questo Tribunale, a fronte delle specifiche contestazioni delle ricorrenti, ha esaminato il tema della pretesa discriminazione cui sono sottoposte le coppie conviventi in rapporto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vengono ritenute specifiche deduzioni per determinare l'imponibile e non viene applicata l'aliquota per coniugi. Come deciso nella STCA 36.2014.78 del 2 febbraio 2015 consid. 2.21 questa obiezione non può essere ritenuta (argomento ripreso nella successiva 36.2015.29 consid. 2.24.), il Tribunale cantonale delle assicurazioni così si è infatti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2.21.   Alla luce di quanto precede, e in particolare visto quanto ritenuto sub. 2.19 in fine, occorre procedere alla verifica del calcolo della RIPAM operato dalla Cassa. Per definire il diritto alla RIPAM del ricorrente e del convivente __________ va fissato il reddito determinante in maniera semplificata partendo dai dati contenuti nelle decisioni fiscali applicabili. I redditi dei conviventi vanno cumulati e, di seguito, vanno dedotte le spese riconosciute. Il ricorrente, correttamente, non ha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In concreto dunque la Cassa cantonale di compensazione ha cifrato correttamente il fabbisogno dell’UR in causa, composta da RI 1 e dal convivente, in CHF 16'540.-- (titolare del diritto) + CHF 8'270.-- (prima persona supplementare). Questo importo è stato aggiornato secondo le Ordinanze 09 ed 11 in maniera corretta. 2.22.   Qui di seguito devono essere verificati i calcoli svolti dall’amministrazione per la nuova determinazione del diritto alla RIPAM da parte dell’UR composta dal ricorrente e dal suo convivente per tutti i 4 anni di sussidio in discussione. 2.22.1.   Per quanto attiene alla RIPAM 2012 la Cassa ha considerato i premi medi dei componenti l'UR, di CHF 9'700.--. I redditi conseguiti nel periodo di riferimento sono fissati nella tassazione 2009 ed ammontano a CHF 73’106.-- (dati accertati dall’UT e derivati dai redditi cui è sommata la quota parte di sostanza netta). Per determinare il reddito disponibile occorre dedurre dall’importo complessivo dei redditi lordi le spese professionali e i premi medi. La Cassa ha correttamente calcolato l’importo in CHF 59’406.--. Per stabilire il  diritto al sussidio va applicata la seguente formula: {PMR - [(RD – limite RD per conseguimento RIPAM massima) * quota art. 36 v.LCAMal/100]} * Quota finanziamento che, rapportata ai dati concreti, conduce al seguente risultato per l’UR composta dal ricorrente e dal convivente: 9'700 – [(59’406 – 13'026) x 21/100] x 73,5% = - 29.30 L’importo inferiore allo 0 non consente il riconoscimento di alcuna riduzione del premio. La Cassa ha calcolato correttamente il diritto alla RIPAM per l’anno 2012. 2.22.2.   Per l’anno 2013 il RD dell’unità di riferimento assomma CHF 64’251.--. Il reddito disponibile è di CHF 50’436.-- già dedotte le spese riconosciute pari a CHF 4'000.- ed i PMR per CHF 9'816.-. La RIPAM è calcolata con la formula seguente: {PMR - [(RD – Limite RD per sussidio massimo/2) x quota % di partecipazione]} x coefficiente cantonale di finanziamento Ossia: {9'816 – [(50’435 – 26’052/2) x 21%]} x 70% = 1'372.077 In questo caso il valore positivo del risultato consente l’attribuzione di una riduzione del premio di CHF 686.40 per ogni assicurato. La Cassa ha agito correttamente. 2.22.3.   Per l’anno 2014 la formula di calcolo è quella esposta nelle considerazioni del punto precedente. Il redditi complessivi ammontano a CHF 64’518.-- da cui dedurre i PMR (CHF 9'930.-) e le spese riconosciute (CHF 4'000.-- complessiva-mente). Il RD è di CHF 50’588.--. Il calcolo da un risultato positivo che consente il riconoscimento di una RIPAM come indicato dalla Cassa cifrato in CHF 1'430.40 (ossia CHF 715.20 ciascuno). Il ricorrente stesso non ha correttamente contestato il calcolo eseguito dall’amministrazione ed i parametri posti alla base dello stesso che sono stati fissati conformemente alle norme applicabili. 2.22.4.   Per il 2015 il reddito disponibile dell’UR è di CHF 41’695.--, come rettamente stabilito dalla Cassa cantonale di compensazione. La formula applicabile per determinare il limite di reddito massimo del diritto alla riduzione è (in assenza di figli a carico) data dall’applicazione della costante (3,4) moltiplicata per la metà del limite di reddito Laps, qui 3,4 x (26’052/2) = CHF 44'288,40 importo inferiore al RD (CHF 41’695.--). Il calcolo della Cassa si rileva pertanto corretto, ossia: {9750 – [(9750/44288,40 2 ) x 41’695 2 ]} x 73,5% = 814.70 Per un importo di RIPAM di CHF 406,80 per ogni assicurato. 2.23.   Alla luce di quanto precede, ritenuto il sussistere di tutti i presupposti di legge, la Cassa ha correttamente ricalcolato il diritto alla RIPAM di RI 1, e ciò per gli anni 2012, 2013, 2014 e 2015. In concreto è data (per il periodo d’interesse) una convivenza stabile tra il ricorrente e il signor __________. La Cassa ha eseguito i calcoli correttamente, fondandosi sulle tassazioni applicabili, cifrando i RD partendo dai redditi complessivi determinati a livello fiscale da quali ha dedotto, in maniera precisa, gli importi deducibili. Ne segue che il ricorso contro le quattro decisioni della Cassa cantonale di compensazione del 6 ottobre 2016 2016 deve essere respinto. Si prescinde dal carico di tasse e spese e non vengono attribuite ripetibili in favore della Cassa.</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2.12.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 a LCAMal cui si è accennato nelle considerazioni precedenti. Le modifiche apportare alle norme a contare dal 2015 hanno reso il sistema molto meno trasparente visto l’uso di formule matematiche complesse. 2.13.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2.15.   Occorre anche qui (come già nelle recenti decisioni di questo Tribunale, cfr STCA 36.2014.78 del 2 febbraio 2015; STCA 36.2015.29 del 13 agosto 2015 e STCA 36.2015.80 del 15 febbraio 2016; 36.2016.4 del 24 marzo 2016, 36.2016.11 del 18 aprile 2016, 36.2016.17 del 23 maggio 2016 e 36.2016.26 del 4 maggio 2016) precisare quali fossero i parametri applicabili alla determinazione della riduzione dei premi negli anni qui in esame. 2.15.1.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2.15.2.   Per l’anno 2013, le stesse sono state così definite: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2.15.3.   Con Decreto esecutivo 21 maggio 2014 (entrato in vigore retroattivamente) concernente le basi di calcolo per l’applicazione delle riduzioni di premio LAMal per l’anno 2014 il Consiglio di Stato ha fissato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2.15.4.   Per l'anno 2015 l'esecutivo cantonale ha fissato i parametri della RIPAM mediante DE dell'11 febbraio 2015, nel seguente modo: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2.16.   Prima di esaminare i calcoli eseguiti dall’amministrazione al fine di accertarne l’esattezza, è rilevante verificare la correttezza del presupposto dal quale la Cassa è partita, e contestato dal  ricorrente, secondo cui i suoi redditi e quelli del signor __________ vadano accumulati. 2.17.   Come ricordato nelle recenti STCA 36.2014.78 del 2 febbraio 2015; STCA 36.2015.29 del 13 agosto 2015 e STCA 36.2015.80 del 15 febbraio 2016; 36.2016.4 del 24 marzo 2016, 36.2016.11 del 18 aprile 2016, 36.2016.17 del 23 maggio 2016 e 36.2016.26 del 4 maggio 2016, l’art. 26 cpv. 4 LCAMal prevede che i partner conviventi, in caso di convivenza stabile, compongano un’UR. Il  ricorrente non contesta la possibilità stessa, conferita al legislatore. Questo aspetto deve però essere esaminato dal TCA specificatamente, nel caso in esame, poiché per la prima volta il TCA è confrontato con un concubinato tra due persone del medesimo sesso che vivono – come indicato dal ricorrente da ultimo in udienza – quali compagni in una relazione sentimentale che dura ormai da anni. Per quanto attiene alla convivenza stabile, in generale, con la STCA 36.2015.29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plusieFabio enfants mineFabio,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r>
        <w:rPr>
          <w:b/>
        </w:rPr>
        <w:t>E. 31</w:t>
      </w:r>
    </w:p>
    <w:p>
      <w:r>
        <w:t>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nuovo sistema prevede la determinazione di limiti di reddito al di sotto dei quali è accordato limporto (normativo) massimo della prestazione sociale (art.</w:t>
      </w:r>
    </w:p>
    <w:p>
      <w:r>
        <w:rPr>
          <w:b/>
        </w:rPr>
        <w:t>E. 34</w:t>
      </w:r>
    </w:p>
    <w:p>
      <w:r>
        <w:t>LCAMal ribadisce che l'importo massimo normativo dei premi corrisponde alla somma dei premi medi di riferimento per categoria d'assicurato, dell'UR. L'importo normativo della RIPAM, dal 2015 è quindi determinato dalla seguente formulata:</w:t>
      </w:r>
    </w:p>
    <w:p>
      <w:r>
        <w:t>[PMR  (PMR x RD2)]</w:t>
      </w:r>
    </w:p>
    <w:p>
      <w:r>
        <w:t>RDM2</w:t>
      </w:r>
    </w:p>
    <w:p>
      <w:r>
        <w:t>e dipende dal reddito disponibile massimo (RDM) definito all'art. 32 a LCAMal cui si è accennato nelle considerazioni precedenti. Le modifiche apportare alle norme a contare dal 2015 hanno reso il sistema molto meno trasparente visto luso di formule matematiche complesse.</w:t>
      </w:r>
    </w:p>
    <w:p>
      <w:r>
        <w:t>2.13.   Per completezza va rammentato ancora che per fissare limporto della riduzione del premio da riconoscere agli assicurati di condizione economica modesta(art.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2.15.   Occorre anche qui (come già nelle recenti decisioni di questo Tribunale, cfr STCA 36.2014.78 del 2 febbraio 2015; STCA 36.2015.29 del 13 agosto 2015 e STCA 36.2015.80 del 15 febbraio 2016; 36.2016.4 del 24 marzo 2016, 36.2016.11 del 18 aprile 2016, 36.2016.17 del 23 maggio 2016 e 36.2016.26 del 4 maggio 2016) precisare quali fossero i parametri applicabili alla determinazione della riduzione dei premi negli anni qui in esame.</w:t>
      </w:r>
    </w:p>
    <w:p>
      <w:r>
        <w:t>2.15.1.   Con il Decreto esecutivo concernente le basi di calcolo per lapplicazione delle riduzioni di premio LAMal per lanno2012(del 15 novembre 2011),le stesse sono state definite come segue:</w:t>
      </w:r>
    </w:p>
    <w:p>
      <w:r>
        <w:t>2.15.2.   Per lanno2013,le stesse sono state così definite: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2.15.3.   Con Decreto esecutivo 21 maggio 2014 (entrato in vigore retroattivamente) concernente le basi di calcolo per lapplicazione delle riduzioni di premio LAMal per lanno2014il Consiglio di Stato ha fissato i seguenti parametri:</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2.15.4.   Per l'anno2015l'esecutivo cantonale ha fissato i parametri della RIPAM mediante DE dell'11 febbraio 2015, nel seguente modo:</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2.16.   Prima di esaminare i calcoli eseguiti dallamministrazione al fine di accertarne lesattezza, è rilevante verificare la correttezza del presupposto dal quale la Cassa è partita, e contestato dal  ricorrente, secondo cui i suoi redditi e quelli del signor __________ vadano accumulati.</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plusieFabio enfants mineFabio,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MALINVERNI/MICHEL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FABIO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w:t>
      </w:r>
    </w:p>
    <w:p>
      <w:r>
        <w:t>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les parents et autres situations) implique la nécessité de réserver à l'autorité exécutive une marge de manuvre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ritenuto tale cumulo in contrasto con senso e scopo dellart. 65 cpv. 1 LAMal.</w:t>
      </w:r>
    </w:p>
    <w:p>
      <w:r>
        <w:t>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a)vi sono figli in comune; b)la convivenza procura gli stessi vantaggi di un matrimonio; c)la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w:t>
      </w:r>
    </w:p>
    <w:p>
      <w:r>
        <w:t>In una sentenza 42.2012.2 del 24 marzo 2013,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Questi rilievi sono già stati formulati da questo TCA nellambito della riduzione dei premi dellassicurazione malattie, nelle STCA 36.2014.78 del 2 febbraio 2015; STCA 36.2015.29 del 13 agosto 2015 e STCA 36.2015.80 del 15 febbraio 2016; 36.2016.4 del 24 marzo 2016, 36.2016.11 del 18 aprile 2016, 36.2016.17 del 23 maggio 2016 e 36.2016.26 del 4 maggio 2016,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10a RLCAMal e 2a RLaps), sia per lo scopo stesso che si prefigge la legge sullarmonizzazione e il coordinamento delle prestazioni sociali. Sarebbe scioccante applicare, allambito della riduzione dei premi dellassicurazione malattie coordinata dalla Laps, un concetto di convivenza stabile diverso.</w:t>
      </w:r>
    </w:p>
    <w:p>
      <w:r>
        <w:t>Condividere la propria esistenza, gli affetti, in una relazione intensa, duratura, rapportabile a quella coniugale, impone, a livello di RIPAM, come per lapplicazione della Laps, di considerare lunità di riferimento composta dai conviventi stabili.</w:t>
      </w:r>
    </w:p>
    <w:p>
      <w:r>
        <w:t>2.19.   Nel caso in esame, non diversamente dai casi recentemente esaminati recentemente da questo TCA (STCA 36.2014.78 del 2 febbraio 2015; STCA 36.2015.29 del 13 agosto 2015 e STCA 36.2015.80 del 15 febbraio 2016; 36.2016.4 del 24 marzo 2016, 36.2016.11 del 18 aprile 2016, 36.2016.17 del 23 maggio 2016 e 36.2016.26 del 4 maggio 2016), la convivenza va senza dubbio ritenuta stabile e tale da imporre il cumulo dei redditi in ottica di RIPAM tra i due conviventi che formano ununica UR.</w:t>
      </w:r>
    </w:p>
    <w:p>
      <w:r>
        <w:t>Come indicato il ricorrente e __________ convivono da ben più di dieci anni, come ammesso in sede dudienza, la loro è una relazione affettiva profonda, la coppia non condivide solo lalloggio ma si sostiene, come palesano i modesti redditi del qui ricorrente.</w:t>
      </w:r>
    </w:p>
    <w:p>
      <w:r>
        <w:t>Dallistruttoria risulta dunque che l'unione tra RI 1 e __________ è fondata su base sentimentale, è intensa, dura da molto tempo e ha riverberi economici. Gli elementi raccolti agli atti, impongono di ritenere la convivenza stabile.</w:t>
      </w:r>
    </w:p>
    <w:p>
      <w:r>
        <w:t>RI 1 e __________ formano ununità di riferimento ai sensi dellart. 26 cpv. 4 LCAMal così come precisato dallart. 10a RLCAMal.</w:t>
      </w:r>
    </w:p>
    <w:p>
      <w:r>
        <w:t>2.21.   Alla luce di quanto precede, e in particolare visto quanto ritenuto sub. 2.19 in fine, occorre procedere alla verifica del calcolo della RIPAM operato dalla Cassa. Per definire il diritto alla RIPAM del ricorrente e del convivente __________ va fissato il reddito determinante in maniera semplificata partendo dai dati contenuti nelle decisioni fiscali applicabili. I redditi dei conviventi vanno cumulati e, di seguito,vanno dedotte le spese riconosciute.</w:t>
      </w:r>
    </w:p>
    <w:p>
      <w:r>
        <w:t>In concreto dunque la Cassa cantonale di compensazione ha cifrato correttamente il fabbisogno dellUR in causa, composta da RI 1 e dal convivente, in CHF 16'540.-- (titolare del diritto) + CHF 8'270.-- (prima persona supplementare).</w:t>
      </w:r>
    </w:p>
    <w:p>
      <w:r>
        <w:t>Questo importo è stato aggiornato secondo le Ordinanze 09 ed 11 in maniera corretta.</w:t>
      </w:r>
    </w:p>
    <w:p>
      <w:r>
        <w:t>{PMR - [(RD  limite RD per conseguimento RIPAM massima)</w:t>
      </w:r>
    </w:p>
    <w:p>
      <w:r>
        <w:t>* quota art. 36 v.LCAMal/100]} * Quota finanziamento</w:t>
      </w:r>
    </w:p>
    <w:p>
      <w:r>
        <w:t>9'700  [(59406  13'026) x 21/100] x 73,5% = - 29.30</w:t>
      </w:r>
    </w:p>
    <w:p>
      <w:r>
        <w:t>{PMR - [(RD  Limite RD per sussidio massimo/2) x quota % di</w:t>
      </w:r>
    </w:p>
    <w:p>
      <w:r>
        <w:t>partecipazione]} x coefficiente cantonale di finanziamento</w:t>
      </w:r>
    </w:p>
    <w:p>
      <w:r>
        <w:t>{9'816  [(50435  26052/2) x 21%]} x 70% = 1'372.077</w:t>
      </w:r>
    </w:p>
    <w:p>
      <w:r>
        <w:t>{9750  [(9750/44288,402) x 416952]} x 73,5% = 814.70</w:t>
      </w:r>
    </w:p>
    <w:p>
      <w:r>
        <w:t>Per un importo di RIPAM di CHF 406,80 per ogni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