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36.2016.118 vom 17. Januar 2017</w:t>
      </w:r>
    </w:p>
    <w:p>
      <w:r>
        <w:t>TI Tribunale d'appello, 2017-01-17, IT</w:t>
      </w:r>
    </w:p>
    <w:p>
      <w:r>
        <w:rPr>
          <w:b/>
        </w:rPr>
        <w:t xml:space="preserve">Quelle: </w:t>
      </w:r>
      <w:r>
        <w:t>https://mcp.opencaselaw.ch/entscheid/ti_gerichte_36.2016.118</w:t>
      </w:r>
    </w:p>
    <w:p>
      <w:r>
        <w:t>FR: TI_GERICHTE 36.2016.118 du 17 janvier 2017</w:t>
      </w:r>
    </w:p>
    <w:p>
      <w:r>
        <w:t>IT: TI_GERICHTE 36.2016.118 del 17 gennaio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lett. b LTF; art. 7 CPC; art. 75 della legge ticinese di applicazione della LAMal del 26 giugno 1997 [RL/TI 6.4.6.1]; DTF 138 III 799 consid. 1.1).</w:t>
      </w:r>
    </w:p>
    <w:p>
      <w:r>
        <w:t>Secondo l'art. 49 cpv. 2 LSA, i tribunali svizzeri devono trasmettere gratuitamente all'autorità di sorveglianza una copia di tutte le sentenze concernenti disposizioni del diritto in materia di contratto d'assicurazione; s'impone perciò di notificare all'autorità di sorveglianza anche la presente sentenza in forma elettronica e senza il nominativo dellattore.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