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36.2016.110 vom 3. Oktober 2017</w:t>
      </w:r>
    </w:p>
    <w:p>
      <w:r>
        <w:t>TI Tribunale d'appello, 2017-10-03, IT</w:t>
      </w:r>
    </w:p>
    <w:p>
      <w:r>
        <w:rPr>
          <w:b/>
        </w:rPr>
        <w:t xml:space="preserve">Quelle: </w:t>
      </w:r>
      <w:r>
        <w:t>https://mcp.opencaselaw.ch/entscheid/ti_gerichte_36.2016.110</w:t>
      </w:r>
    </w:p>
    <w:p>
      <w:r>
        <w:t>FR: TI_GERICHTE 36.2016.110 du 3 octobre 2017</w:t>
      </w:r>
    </w:p>
    <w:p>
      <w:r>
        <w:t>IT: TI_GERICHTE 36.2016.110 del 3 ottobre 2017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agosto 2015, senza riprendere il giudizio criticato in Ticino per i suoi effetti negativi senza sostrato atto a giustificarne la portata (Ranzanici, op. cit., n. 4.3.3. p. 328 e ss.).</w:t>
      </w:r>
    </w:p>
    <w:p>
      <w:r>
        <w:t>nel merito</w:t>
      </w:r>
    </w:p>
    <w:p>
      <w:r>
        <w:t>Ciò è il caso in concreto, poiché la determinazione del domicilio del padre, con il conseguente decadimento delle prestazioni assistenziali, è decisiva ai fini dellesito del presente procedimento.</w:t>
      </w:r>
    </w:p>
    <w:p>
      <w:r>
        <w:t>Ne segue che la ricorrente va esonerata dallobbligo assicurativo in Svizzera non solo dal 19 agosto 2017, ossia da quando è stata obbligata a lasciare la Svizzera poiché priva di permesso (cfr. doc. XIV/2), ma già dal 3 agosto 2016, senza che sia necessario esaminare anche le altre censure sollevate dallinteressata, tra cui lasserita violazione del principio della buona fede, essendo stata esonerata per il periodo precedente il provvedimento qui impugnato con successivo cambio di prassi.</w:t>
      </w:r>
    </w:p>
    <w:p>
      <w:r>
        <w:t>In concreto non è neppure necessario accertare il tipo di permesso di cui beneficia il padre, così come chiesto in sede di udienza, essendo già stato accertato da questo TCA nella sentenza 42.2016.32 dell8 febbraio 2017 (consid. 2.7, pag. 13)che linteressato ha un permesso di domicilio UE/AELS di tipo C valido dal febbraio 2016 al 30 settembre 2020. Ciò rende superflua la richiesta tendente alla verifica, presso le autorità competenti, della posizione del padre (doc. XIV).</w:t>
      </w:r>
    </w:p>
    <w:p>
      <w:r>
        <w:t>Questo TCA rinuncia allassunzione di altre prove, ritenuto che la documentazione prodotta dalle parti e acquisita nelle more processuali, è sufficiente per decidere nel merito della vertenza, è completa ed esaustiva e non necessita di complementi (cfr. anche sentenza 9C_394/2016 del 21 novembre 2016, consid. 6.2).</w:t>
      </w:r>
    </w:p>
    <w:p>
      <w:r>
        <w:t>Non si assegnano ripetibili.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