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36.2015.66 vom 31. August 2016</w:t>
      </w:r>
    </w:p>
    <w:p>
      <w:r>
        <w:t>TI Tribunale d'appello, 2016-08-31, IT</w:t>
      </w:r>
    </w:p>
    <w:p>
      <w:r>
        <w:rPr>
          <w:b/>
        </w:rPr>
        <w:t xml:space="preserve">Quelle: </w:t>
      </w:r>
      <w:r>
        <w:t>https://mcp.opencaselaw.ch/entscheid/ti_gerichte_36.2015.66_d20160831</w:t>
      </w:r>
    </w:p>
    <w:p>
      <w:r>
        <w:t>FR: TI_GERICHTE 36.2015.66 du 31 août 2016</w:t>
      </w:r>
    </w:p>
    <w:p>
      <w:r>
        <w:t>IT: TI_GERICHTE 36.2015.66 del 31 agosto 2016</w:t>
      </w:r>
    </w:p>
    <w:p>
      <w:pPr>
        <w:pStyle w:val="Heading2"/>
      </w:pPr>
      <w:r>
        <w:t>Regeste</w:t>
      </w:r>
    </w:p>
    <w:p>
      <w:r>
        <w:t>Restituzione di prestazioni indebitamente percepite a causa di un comportamento fraudolento ai senso dell'art. 40 LCA (segnatamente: fatture false trasmesse all'assicuratore malattie). Condizione oggettiva e soggettiva adempiuta. Assicurata già condannata penalmente</w:t>
      </w:r>
    </w:p>
    <w:p>
      <w:pPr>
        <w:pStyle w:val="Heading2"/>
      </w:pPr>
      <w:r>
        <w:t>Erwägungen</w:t>
      </w:r>
    </w:p>
    <w:p>
      <w:r>
        <w:rPr>
          <w:b/>
        </w:rPr>
        <w:t>E. 1</w:t>
      </w:r>
    </w:p>
    <w:p>
      <w:r>
        <w:t>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delle parti.</w:t>
      </w:r>
    </w:p>
    <w:p>
      <w:r>
        <w:rPr>
          <w:b/>
        </w:rPr>
        <w:t>E. 3</w:t>
      </w:r>
    </w:p>
    <w:p>
      <w:r>
        <w:t>. Auflage, 1995, S. 386) .”; cfr. DTF 131 III 314 consid. 2.3: “ […] Der Wortlaut von Art. 40 VVG ist klar. Werden leistungsbegründende Tatsachen zum Zweck der Täuschung unrichtig mitgeteilt oder verschwiegen, ist der Versicherer an den Vertrag nicht gebunden” ; cfr. anche sentenza 4A_17/2011 del 14 marzo 2011, consid. 2: „ […] L’assureur peut alors refuser toute prestation, ce même si la fraude se rapporte à une partie seulement du dommage […] “; cfr. sentenza 12.2008.202 del 17 gennaio 2011 della seconda Camera civile del Tribunale d’appello, confermata dalla sentenza 4A_131/2011 del 4 agosto 2011). Pure la dottrina (Nef, op. cit., n. 47 e seguenti ad art. 40)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 mobili (“ Radiomöbel ”) di troppo o quella di un noleggiatore di automobili cui è stata negata tutta la prestazione relativa ad un’auto rubata del valore di fr. 129‘610 poiché aveva prodotto una falsa fattura con un valore aggiuntivo di fr. 5‘390.--. Di principio in caso di frode nella dichiarazione del sinistro, se l’assicuratore disdice il contratto, quest’ultimo è sciolto retroattivamente con il sorgere del sinistro e non solo dal momento in cui è stata commessa la frode assicurativa (Nef, op. cit, n. 53 ad art. 40 [cfr. anche n. 48]; cfr. sentenza 4A_17/2011 del 14 marzo 2011 consid. 2; cfr. anche sentenza 5C.2/2007 del 17 ottobre 2007, dove il TF ha annullato una sentenza cantonale ed ha stabilito che tutti i contratti conclusi tra il 1978 ed il 1992 potevano essere disdetti per 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 L’obbligo di restituzione si fonda sulle norme relative all’arricchimento illecito di cui agli art. 62 e seguenti CO (cfr.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 Cfr. anche Nef, op. cit. n. 1, 47 e 55 ad art. 40; cfr. sentenza 5C.11/2002 dell’11 aprile 2002, consid. 2a)bb). 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 ATF 131 III 314 consid. 2.3) […]” ). 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la convenuta deve restituire l’importo complessivo versato dall’assicuratore dal 2007, e da lei non contestato, di fr. 17’825.40. 2.7.   L’attrice chiede il pagamento di un importo di fr. 300.-- a titolo di risarcimento danni ai sensi degli art. 41 e seguenti CO. L’assicuratore afferma che “ Il danno "spese" consiste nel lavoro supplementare causato a seguito dell'agire illegale – accertato con il decreto d'accusa del 10.08.2015 – della convenuta al personale AT 1 (soprattutto il team incasso, il centro servizi, ....) per la trattazione della pratica (senz'altro stimabile in un paio di ore, non inferiore alle 4), comprendente: la visione atti penali, la valutazione del da farsi, etc.), la corrispondenza concernente la misura adottata (con lo scritto del 28.01.2014, il conteggio di storno prestazioni del 27.01.2014 e il sollecito e la diffida,,,,, l'avvio della procedura esecutiva e giudiziaria). I costi postali di corrispondenza (almeno CHF 25), le fotocopie (atti penali e altro (necessarie per la prosecuzione della pratica: min 150 copie), le spese di trasferta al ministero pubblico per la visione atti, etc.. Il danno di AT 1 è pertanto senz'altro quantificabile nell'importo forfettario di CHF 300, che è proporzionale ai dispendi avuti nella fattispecie. Se si considera che anche in ambito LAMal, a determinate condizioni, si giustifica prelevare spese proporzionali al dispendio avuto, si buon capire che la richiesta di rimborso spese si giustifica nella fattispecie, in presenza di un agire illegale da parte dell’assicurato. (…) ” (doc. I, pag. 8). Con sentenza 12.2012.5 del 18 febbraio 2013 la seconda camera civile del Tribunale d’Appello ha rammentato (cfr. anche le sentenze 36.2015.36 dell’11 novembre 2015 e 36.2013.54 del 26 febbraio 2014): "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(sentenza del TF 19 maggio 2003 inc. 4C.11/2003; Cocchi/Trezzini ,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 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 In concreto l’assicuratore non ha dovuto far capo ad un legale, avendo a disposizione un servizio giuridico interno. Tuttavia nella misura in cui ha dovuto avviare una procedura esecutiva ed in seguito civile nei confronti dell’assicurata che ha negato di dover restituire alcunché, malgrado il suo agire contrario alla legge, l’importo di fr. 300.-- , proporzionato rispetto all’ammontare chiesto in restituzione, per le spese di corrispondenza, di fotocopie dell’incarto penale, di trasferta presso il Ministero Pubblico e di richieste di atti a tale autorità, va senz’altro riconosciuto. 2.8.   Alla luce di tutto quanto sopra esposto la convenuta va condannata a versare all’attrice l’importo complessivo di fr. 18'125.40. Di conseguenza l’opposizione al PE n. __________ dell’UEF di __________ del 1° ottobre 2014 è rigettata in via definitiva per l’importo di fr. 18'125.40. 2.9.   Circa la possibilità di ricorrere al Tribunale federale, va rammentato che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