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36.2015.49 vom 22. September 2016</w:t>
      </w:r>
    </w:p>
    <w:p>
      <w:r>
        <w:t>TI Tribunale d'appello, 2016-09-22, IT</w:t>
      </w:r>
    </w:p>
    <w:p>
      <w:r>
        <w:rPr>
          <w:b/>
        </w:rPr>
        <w:t xml:space="preserve">Quelle: </w:t>
      </w:r>
      <w:r>
        <w:t>https://mcp.opencaselaw.ch/entscheid/ti_gerichte_36.2015.49</w:t>
      </w:r>
    </w:p>
    <w:p>
      <w:r>
        <w:t>FR: TI_GERICHTE 36.2015.49 du 22 septembre 2016</w:t>
      </w:r>
    </w:p>
    <w:p>
      <w:r>
        <w:t>IT: TI_GERICHTE 36.2015.49 del 22 settembre 2016</w:t>
      </w:r>
    </w:p>
    <w:p>
      <w:pPr>
        <w:pStyle w:val="Heading2"/>
      </w:pPr>
      <w:r>
        <w:t>Regeste</w:t>
      </w:r>
    </w:p>
    <w:p>
      <w:r>
        <w:t>Indennità giornaliere per perdita di guadagno in caso di malattia a causa di una fibromialgia. Perizia giudiziaria. Applicazione di un termine di 3-5 mesi per cambiare datore di lavoro. Acquiescenza parziale</w:t>
      </w:r>
    </w:p>
    <w:p>
      <w:pPr>
        <w:pStyle w:val="Heading2"/>
      </w:pPr>
      <w:r>
        <w:t>Erwägungen</w:t>
      </w:r>
    </w:p>
    <w:p>
      <w:r>
        <w:rPr>
          <w:b/>
        </w:rPr>
        <w:t>E. 4</w:t>
      </w:r>
    </w:p>
    <w:p>
      <w:r>
        <w:t>giugno 2015 è questa entità giuridica che le ha scritto la lettera con la quale le è stata comunicata la cessazione del versamento delle indennità giornaliere con il 15 giugno 2015 (doc. A1). Nel petitum tuttavia l’attrice chiede, giustamente, la condanna della “ cassa CV 1 ”. In effetti assicuratore delle indennità perdita di guadagno, nel caso di specie, è CV 1. Quest’ultima ha presentato la risposta di causa (doc. III), senza nulla eccepire, ha conferito la procura all’avv. __________ per rappresentarla (doc. X), ha aderito alla richiesta di pagare indennità dal 16 giugno 2015 al 31 gennaio 2016 (doc. XXVIII) ed ha poi versato le prestazioni all’attrice (cfr. XLI), ha proposto una transazione (doc. LI). CV 1 ha dunque acconsentito di sostituire quale convenuta CV 1 (cfr. anche art. 83 cpv. 4 CPC). 2.2.   Con la petizione l’attrice chiede il pagamento delle indennità giornaliere oltre il 16 giugno 2015. In seguito all’allestimento della perizia del 22 aprile 2016 della dr.ssa med. __________ la convenuta ha aderito, in sede di udienza, firmando il relativo verbale, alla richiesta dell’attrice di versare prestazioni dal 16 giugno 2016 fino al 31 gennaio 2016 (doc. XXVIII) ed ha pagato, pendente causa, le prestazioni dovute. L’attrice ha confermato questa circostanza (cfr. doc. XLI). Il 30 agosto 2016 l’assicuratore ha rilevato di aver versato le indennità giornaliere anche per il periodo dal 28 aprile 2016 al 24 giugno 2016, durante il quale l’attrice è stata degente presso la Clinica __________ di __________ (doc. L). Per l'art. 241 cpv. 1 CPC in caso di transazione, acquiescenza o desistenza, le parti devono firmare il relativo verbale. Secondo l’art. 241 cpv. 2 CPC la transazione, l'acquiescenza e la desistenza hanno l'effetto di una decisione passata in giudicato ed in virtù dell'art. 241 cpv. 3 CPC il giudice stralcia la causa dal ruolo.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 la petizione, nella misura in cui chiede prestazioni dal 16 giugno 2015 al 31 gennaio 2016 e dal 28 aprile 2016 al 24 giugno 2016, va stralciata dai ruoli. Va qui comunque evidenziato, come si vedrà meglio in seguito, che se l’assicuratore non avesse aderito alle richieste dell’attrice per i due periodi durante i quali ha già riconosciuto le prestazioni, sarebbe comunque stato condannato a pagarle. Resta da esaminare se l’attrice ha diritto a prestazioni per il periodo dal 1° febbraio 2016 al 27 aprile 2016 e dal 25 giugno 2016. 2.3.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2.4.   Nella presente fattispecie trovano applicazione __________ (di seguito: CGA; doc. 18). Ai sensi dell’art. __________ CGA i diritti e i doveri dei contraenti sono definiti nella polizza, nelle eventuali aggiunte, nelle condizioni generali d’assicurazione (CGA), nelle condizioni complementari e nelle condizioni speciali del contratto. Nella misura in cui non sia esplicitamente convenuto altrimenti, vale la legge federale sul contratto d’assicurazione (LCA). Per l’art. __________ CGA la CV 1 assume la copertura assicurativa contro le conseguenze economiche della malattia, dell’infortunio e della maternità. Le prestazioni assicurate sono indicate nella polizza. L’art. __________ CGA prevede che è considerata malattia qualsiasi danno alla salute fisica o psichica che non sia la conseguenza di un infortunio o che richieda un esame o una cura medica oppure provochi un’incapacità al lavoro. Ai sensi dell’art. __________ CGA l’indennità giornaliera assicurata è corrisposta per la durata dell’incapacità lavorativa attestata dal medico o dal chiropratico, dopo decorrenza dell’eventuale periodo di attesa. In caso d’incapacità lavorativa parziale, l’ammontare dell’indennità giornaliera si basa sul grado d’incapacità: se questo è inferiore al 50% non c’è diritto all’indennità giornaliera. Per l’art. __________ CGA è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L’art. __________ CGA prevede tra l’altro che il rinnovato insorgere di una malattia o delle conseguenze di un infortunio (ricaduta) è considerato quale caso nuovo per quanto riguarda la durata delle prestazioni e il periodo di attesa, se dall’ultimo insorgere della stessa malattia o delle stesse conseguenze d’infortunio l’assicurato non è stato ininterrottamente inabile al lavoro a causa di questi disturbi durante 180 giorni consecutivi. Per l’art. __________ CGA in caso d’incapacità lavorativa parziale o completa di lunga durata, l’assicurato è tenuto ad accettare un’attività esigibile in un’altra professione o in un altro ambito lavorativo. La CV 1 esorta l’assicurato, fissandogli un termine adeguato, a conformare la sua precedente attività lavorativa o ad accettare un’altra attività esigibile. 2.5.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è contestato che ci si trova in presenza di un’assicurazione contro i danni (cfr. art. __________ CGA). 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Il caso concerneva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2.7.   In concreto, ritenuto come il medesimo assicuratore, già in sede di risposta, in via subordinata ha evidenziato la necessità di procedere con ulteriori accertamenti medici, e meglio con l’allestimento di una perizia medica, accertato che l’interessata risultava affetta da una sindrome somatoforme da dolore persistente - fibromialgia (ICD 10 F 45.4), il TCA ha incaricato la dr.ssa med. __________ di allestire una perizia medica sulla base della lettera circolare n. 339 dell’UFAS, allestita in seguito all’emanazione da parte del TF di una sentenza di principio pubblicata in DTF 141 V 281. Con referto del 22 aprile 2016 (doc. XXIII) la dr.ssa med. __________, dopo aver visitato in due occasioni (17 dicembre 2015 e 4 aprile 2016) l’attrice ed aver acquisito numerosa ulteriore documentazione medica, tra cui un rapporto psicologico della psicologa e psicoterapeuta __________, un rapporto della dr. med. __________, caposervizio reumatologia __________, un rapporto del PD dr. med. __________, specialista FMH gastroenterologia, un rapporto della dr.ssa med. __________, specialista FMH medicina interna generale ed aver integrato, come chiesto dalla convenuta, una valutazione somatica interdisciplinare (cfr. pag. 2 del referto), circa la capacità lavorativa ha stabilito: “ incapacità lavorativa (IL) nella misura del 100% dal 9.02.2015 al 31.01.2016 nell’attività abituale, dal 1.02.2016 e continua, abile al lavoro nella misura del 100% (IL 0%) ma non presso l’attuale datore di lavoro per problemi relazionali non elaborabili con colleghi e superiori. Le raccomandazioni della perizia reumatologica sono da integrare con il cahier de charges ”, mentre circa la capacità lavorativa in attività adeguata: “ 100% in ogni attività adeguata con raccomandazioni della perizia reumatologica da integrarsi con il cahier de charges a partire dal 01.02.2016 e continua ” (doc. XXIII).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2.9.   In concreto, questo Tribunale non vede ragioni che gli impediscano di fare propria la valutazione espressa dalla perita giudiziaria. In effetti, il referto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la specialista ha espresso il suo apprezzamento in modo chiaro e motivato, dopo aver proceduto a un esame approfondito del caso (cfr. STF 8C_103/2008 del 7 gennaio 2009 consid. 10.2). Circa le contestazioni dell’attrice che ritiene che solo con il secondo colloquio avvenuto il 4 aprile 2016 è stato effettivamente riscontrato un miglioramento del suo stato di salute, allorché in occasione della prima visita del 17 dicembre 2015 è risultata palese la sua totale incapacità lavorativa, va evidenziato che la perita ha diffusamente spiegato e motivato le ragioni a fondamento della sua valutazione e meglio del riacquisto della totale capacità lavorativa con il 1° febbraio 2016 (cfr. pag. 17 seguenti della perizia del 22 aprile 2016, doc. XXIII). La specialista ha evidenziato che il ricovero presso la Clinica __________, conclusosi il 13 aprile 2015 con la presa a carico interdisciplinare attenta ai bisogni piscologici dell’attrice aveva già portato ad un miglioramento dei sintomi della patologia, ma l’assenza della presa a carico di cui beneficiava in clinica ha nuovamente comportato un aggravamento ed un peggioramento della patologia, confermato dapprima dalla psichiatra curante ed in seguito accertato in occasione del primo colloquio peritale del 17 dicembre 2015. Successivamente vi è stato un lento miglioramento, che, come rileva l’attrice, è stato confermato in occasione della visita del 4 aprile 2016. Tuttavia, come emerge dal referto peritale, il miglioramento è documentabile già a partire dall’indagine psicologica della specialista in psicoterapia FSP __________, ossia in occasione delle visite del 2 febbraio 2016, 16 febbraio 2016 e 25 febbraio 2016 (cfr. doc. XXIII pag. 17 e seguenti ed allegato A). Per questo motivo la perita ha accertato che l’attrice ha riacquisito la totale capacità lavorativa dal 1° febbraio 2016 a condizione, tuttavia, che cambi datore di lavoro a causa di una problematica relazionale non elaborabile (cfr. doc. XXIII pag. 17 e seguenti). L’assicurata, pur contestando genericamente su questo punto la perizia giudiziaria, non ha del resto presentato certificati medici atti a sovvertire le conclusioni della dr.ssa med. __________. Va ora esaminato quali sono le conseguenze del riacquisto della capacità lavorativa al 100% nella precedente attività dal 1° febbraio 2016, ma solo in caso di cambio di datore di lavoro. 2.10.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CGA prevede il medesimo concetto. Infatti per l’art. __________ CGA in caso d’incapacità lavorativa parziale o completa di lunga durata, l’assicurato è tenuto ad accettare un’attività esigibile in un’altra professione o in un altro ambito lavorativo. La CV 1 esorta l’assicurato, fissandogli un termine adeguato, a conformare la sua precedente attività lavorativa o ad accettare un’altra attività esigibile. 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Cfr. anche DTF 133 III 527, consid. 3.2.1.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Con una sentenza di principio 36.2013.48 del 18 dicembre 2013 (cfr. anche la sentenza 36.2013.6 del 18 febbraio 2014) il TCA ha dovuto giudicare un caso simile a quello in esame. Si trattava infatti di stabilire il diritto ad indennità giornaliere di un’assicurata che a causa di una patologia psichica non poteva più svolgere la propria attività presso la medesima ditta ma che avrebbe dovuto cambiare datore di lavoro per poter continuare ad esercitare la sua professione abituale. La Corte cantonale ha stabilito: "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 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 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 Nell'evenienza concreta, il contratto di lavoro agli atti è datato 1° gennaio 2006 (doc. E), ma l'attrice è dipendente della Y sin dal 1° agosto 2001. Ritenuto, poi, che il contratto attualmente in vigore non prevede norme 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 Questo termine è da ritenere un lasso temporale minimo in situazioni che impongano un cambio di luogo di lavoro e datore di lavoro anche qualora i termini di disdetta del rapporto di lavoro fossero inferiori a quali applicabili in concreto .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 (sottolineatura del redattore) 2.11. In concreto, secondo la succitata giurisprudenza, l’assicuratore avrebbe dovuto assegnare all’attrice, completamente inabile al lavoro dal 9 febbraio 2015 al 31 gennaio 2016 ed abile al lavoro al 100% dal 1° febbraio 2016 presso un altro datore di lavoro, un termine minimo di tre mesi per cambiare posto di lavoro e durante il quale continuare a versare le indennità giornaliere nella medesima misura del 100%, come in precedenza (cfr. sentenza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 sottolineatura del redattore). Nella sentenza 36.2013.48 del 18 dicembre 2013 il TCA ha infatti stabilito che un termine di tre mesi “ è da ritenere un lasso temporale minimo in situazioni che impongano un cambio di luogo di lavoro e datore di lavoro anche qualora i termini di disdetta del rapporto di lavoro fossero inferiori a quali applicabili in concreto ”. Nel caso di specie può rimanere aperta la questione di sapere se, alla luce dell’età della ricorrente, del lungo periodo d’incapacità di lavoro completo (quasi un anno) e delle caratteristiche dell’attrice, non occorra piuttosto assegnare un termine più lungo, e meglio quello di 5 mesi. Infatti, dal 28 aprile 2016, l’attrice è comunque di nuovo completamente inabile al lavoro (doc. XXVI). In primo luogo essa è stata degente presso la Clinica __________ fino al 24 giugno 2016 (doc. B4) ed in seguito la curante, dr.ssa med. __________, ha attestato la continuazione dell’incapacità lavorativa totale (doc. B5 e B6). Non vi è alcun motivo per mettere in dubbio queste attestazioni. Del resto, l’assicuratore non ha prodotto atti medici contrari. Inoltre le certificazioni emesse nel corso del 2015 dalla medesima dr.ssa med. __________ erano state confermate anche dalla perita (doc. XXIII). Non vi sono di conseguenza ragioni per non ritenere fedefacenti anche le attestazioni relative al periodo dal 25 giugno 2016. Ad ulteriore conferma che l’interessata, nel periodo in esame, non può svolgere un’attività lavorativa, vi è la circostanza che dal rapporto di dimissione della Clinica __________ del 20 luglio 2016, dove figurano quale diagnosi psichiatriche il “ disturbo depressivo ricorrente, episodio di media gravità in atto (ICD-10 GM: F33.1) “ ed il “ disturbo somatoforme da dolore persistente (ICD-10 GM F45.40) ”, emerge che, dopo aver raggiunto un buon compenso psichico, sono state concordate le dimissioni “ previa attivazione degli aiuti infermieristici domiciliari dell’Associazione __________: controllo salute, al fine di monitorare le condizioni fisiche generali, 5 volte alla settimana; infermiere psichiatrico, al fine di supportare la paziente a valutare l’andamento generale, 3 volte alla settimana; preparazione di dosette settimanali e controllo assunzione terapia. Ci siamo inoltre messi in contatto con il __________, presso il __________, per richiedere un’assistenza per la paziente, la quale poi dovrà presentarsi personalmente per consegnare la documentazione necessaria ” (doc. B4). In queste condizioni, in assenza di qualsiasi contestazione specifica e qualificata, tramite atti medici oggettivi, da parte dell’assicuratore, la richiesta di procedere con un’ulteriore perizia va respinta. A questo proposito va rammentato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 concreto il Tribunale ha trasmesso alla convenuta il referto della Clinica __________ e i certificati della curante con scritto del 29 luglio 2016, per una presa di posizione entro il 30 agosto 2016 (doc. XLV). Un lasso di tempo entro il quale avrebbe potuto far prendere posizione al proprio medico di fiducia. Certo, la rappresentante è stata assente i primi 15 giorni di agosto 2016 ed ha dovuto preparare un dibattimento penale laborioso per il 23 agosto 2016 (doc. XL). Tuttavia nello scritto del 30 agosto 2016 l’assicuratore si è limitato a contestare in maniera generica le valutazioni della curante, dr.ssa med. __________ (ma non della Clinica __________), che ha attestato una totale incapacità lavorativa, non ha prodotto alcunché, non si è riservata di presentare un’ulteriore presa di posizione del medico fiduciario nel caso di rifiuto dell’attrice della proposta di transazione e non ha chiesto una proroga per poter semmai presentare una presa di posizione dettagliata del proprio medico di fiducia. Ne segue che questo TCA deve concludere che l’interessata continua ad essere completamente inabile al lavoro anche dopo il 24 giugno 2016. Riassumendo, all’attrice, completamente inabile al lavoro dal 9 febbraio 2015 al 31 gennaio 2016 (doc. XXIII), andrebbe assegnato, con effetto dal 1° febbraio 2016, un termine di almeno tre mesi per trovare la medesima occupazione presso un altro datore di lavoro, durante il quale l’assicuratore deve versare le indennità piene (sentenza 36.2013.48 del 18 dicembre 2013). Ritenuto tuttavia che prima dello scadere del termine l’interessata ha subito una ricaduta che l’ha resa totalmente inabile al lavoro dal 28 aprile 2016 al 24 giugno 2016 e che in seguito è stata nuovamente giudicata inabile al lavoro dalla propria curante senza che l’assicuratore abbia contestato, in maniera qualificata e meglio tramite la produzione di ulteriori atti medici, le conclusioni della curante, le prestazioni devono continuare ad esserle versate nella misura del 100% fino al suo esaurimento o, al più presto, fino al ristabilimento della capacità lavorativa, non senza prima aver assegnato un termine di adeguamento di 3-5 mesi ed aver proceduto con l’abituale raffronto dei redditi (cfr. art. __________ CGA; cfr. anche sentenza 36.2015.94 del 30 giugno 2016). 2.12.   Come visto il TCA ha dovuto allestire una perizia medica. In ambito di assicurazioni sociali, e meglio di AI, in DTF 139 V 496 il TF ha precisato, applicando l’art. 45 LPGA, quali sono i criteri da prendere in considerazione per determinare se la spese di una perizia giudiziaria possono essere poste a carico dell’autorità amministrativa ed ha esteso questa possibilità dapprima all’assicurazione contro gli infortuni (DTF 140 V 70) ed in seguito all’assicurazione malattie (sentenza 9C_781/2013 del 28 gennaio 2014). In sintesi, i costi del referto possono essere accollati all’assicuratore laddove quest’ultimo ha effettuato un’istruttoria lacunosa o con insufficienze qualificate e se la perizia serve a colmare le mancanze dell’assicuratore. In altre parole è necessario un nesso tra le lacune istruttorie e la necessità di allestire una perizia giudiziaria (sentenza 9C_781/2013 del 28 gennaio 2014, consid. 3.2). Nell’ambito della procedura civile l’art. 104 cpv. 1 CPC prevede che il giudice statuisce sulle spese giudiziarie (composte di spese processuali e spese ripetibili; cfr. art. 95 cpv. 1 CPC) di regola nella decisione finale (cfr. anche sentenza 4A_76/2016 del 30 agosto 2016, consid. 5). Ai sensi dell’art. 114 lett. e CPC nella procedura decisionale non sono tuttavia addossate spese processuali (di cui fanno parte le spese dell’assunzione delle prove [art. 95 cpv. 2 lett. c CPC]) per le controversie derivanti da assicurazioni complementari all’assicurazione sociale contro le malattie secondo la legge federale del 18 marzo 1994 sull’assicurazione malattie. Certo, per l’art. 115 CPC in caso di malafede o temerarietà processuali, le spese processuali possono essere addossate a una parte anche nelle procedure gratuite. In concreto l’assicuratore, sulla base della documentazione agli atti, con la risposta di causa del 10 luglio 2015, ha proposto lui medesimo, perlomeno in via subordinata, l’allestimento di una perizia, e in via ancora più subordinata il rinvio degli atti della causa a sé stesso per esperire una perizia (doc. III). Precedentemente si era limitato ad acquisire una presa di posizione di poche righe di due medici consulenti (doc. 14), malgrado si fosse in presenza della diagnosi di sindrome somatoforme/fibromialgia per la quale, anche prima della sentenza 9C_492/2014 del 3 giugno 2015 pubblicata in DTF 141 V 281 e che ha modificato la giurisprudenza, erano state emesse numerose sentenze nelle quali erano stati indicati gli accertamenti medici necessari da mettere in atto in presenza di questa patologia (cfr. in particolare la DTF 131 V 49). La stessa rappresentante, in sede di udienza, il 22 settembre 2015 ha dato atto che “ vi sono contraddizioni che essa riconduce alla curante che non avrebbe motivato obbiettivamente e in maniera tracciabile nei precedenti certificati la patologia ” (doc. XII). Dal canto suo la dr.ssa med. __________ ha rilevato come “ l’Avvocato dell’Assicurazione ha d’altra parte rileva che la documentazione medica prodotta non è esauriente ” (pag. 5 doc. XXIII) ed ha inoltre evidenziato come “ la presente perizia ha presentato aspetti inconsueti; per la scarsità di elementi clinici inizialmente disponibili è stato necessario organizzare (come anche chiesto da una delle parti) una valutazione interdisciplinare ” (pag. 16, doc. XXIII, sottolineatura del redattore). Spettava pertanto in primo luogo all’assicuratore esperire gli accertamenti medici necessari. Tuttavia l’agire della convenuta, seppur minimalista, non può essere considerato come temerario o in malafede ai sensi del citato disposto (cfr. Trezzini, in Commentario al CPC, pag. 453; Rüegg, in Basler Kommentar, n. 1 e seguenti ad art. 115, pag. 648 e seguenti; Kommentar zur Schweizerischen Zivilprozessordung, 3a edizione, n. 5 e seguenti ad art. 115, pag. 958 e seguenti). Le spese della perizia devono pertanto restare a carico dello Stato. Questo Tribunale rileva a questo proposito che le indennità giornaliere contro la perdita di guadagno in caso di malattia possono essere assoggettate sia al diritto delle assicurazioni sociali (art. 67 e seguenti LAMal), sia al diritto privato (LCA), a dipendenza della volontà delle parti al momento della conclusione del contratto e che di conseguenza in presenza di una medesima prestazione, vi sono due procedure diverse. La prima, in ambito di controversie derivanti dalle assicurazioni sociali, che contempla una base legale per accollare all’assicuratore, a determinate condizioni, le spese di una perizia che avrebbe dovuto essere allestita in sede amministrativa (art. 45 LPGA), la seconda, in ambito di controversie derivanti da assicurazioni complementari alla LAMal, che non prevede alcunché di simile, se non in caso di temerarietà o malafede di una parte. Spetta semmai al legislatore risolvere il problema. All’attrice, vincente in causa, vanno invece riconosciute le ripetibili (art. 95 cpv. 1 lett. b CPC e 114 lett. e CPC e contrario ), che rendono priva di oggetto la richiesta di assistenza giudiziaria con gratuito patrocinio formulata, implicitamente, il</w:t>
      </w:r>
    </w:p>
    <w:p>
      <w:r>
        <w:rPr>
          <w:b/>
        </w:rPr>
        <w:t>E. 9</w:t>
      </w:r>
    </w:p>
    <w:p>
      <w:r>
        <w:t>maggio 2016 (doc. XXVII).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