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36.2015.46 vom 13. August 2015</w:t>
      </w:r>
    </w:p>
    <w:p>
      <w:r>
        <w:t>TI Tribunale d'appello, 2015-08-13, IT</w:t>
      </w:r>
    </w:p>
    <w:p>
      <w:r>
        <w:rPr>
          <w:b/>
        </w:rPr>
        <w:t xml:space="preserve">Quelle: </w:t>
      </w:r>
      <w:r>
        <w:t>https://mcp.opencaselaw.ch/entscheid/ti_gerichte_36.2015.46</w:t>
      </w:r>
    </w:p>
    <w:p>
      <w:r>
        <w:t>FR: TI_GERICHTE 36.2015.46 du 13 août 2015</w:t>
      </w:r>
    </w:p>
    <w:p>
      <w:r>
        <w:t>IT: TI_GERICHTE 36.2015.46 del 13 agosto 2015</w:t>
      </w:r>
    </w:p>
    <w:p>
      <w:pPr>
        <w:pStyle w:val="Heading2"/>
      </w:pPr>
      <w:r>
        <w:t>Regeste</w:t>
      </w:r>
    </w:p>
    <w:p>
      <w:r>
        <w:t>Sussidio 2015. Il giudice è vincolato ai valori riportati nella tassazione. Se ne scosta se vi sono errori palesi o se dati gli estremi art. 14 RLCAMal. Aggiornamento del valore del fabbisogno e coerenza delle costanti per il calcolo del RDM</w:t>
      </w:r>
    </w:p>
    <w:p>
      <w:pPr>
        <w:pStyle w:val="Heading2"/>
      </w:pPr>
      <w:r>
        <w:t>Erwägungen</w:t>
      </w:r>
    </w:p>
    <w:p>
      <w:r>
        <w:rPr>
          <w:b/>
        </w:rPr>
        <w:t>E. 2</w:t>
      </w:r>
    </w:p>
    <w:p>
      <w:r>
        <w:t>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che una fetta importante dei beneficiari della riduzione del premio dell’assicurazione obbligatoria delle cure è parallelamente beneficiario di PC (e gode di trattamento di favore per le modalità di ottenimento della riduzione). Con riferimento al cpv. 3 dell'art. 10 Laps va ricordato come l’Ordinanza 09 del Consiglio Federale datata 26 settembre 2008 sugli adeguamenti all’evoluzione dei prezzi e dei salari nell’AVS/AI/IPG prevedeva un incremento del 3,2% rispetto all’anno precedente mentre l’incremento dell’Ordinanza 11 è dell’1.8% (art. 3 cpv. 2). Quest’ultima percentuale altro non è che l’arrotondamento del tasso percentuale tecnico calcolato nell’1,7543%. La giurisprudenza ha chiarito, alla luce della comunicazione acquisita presso l’UFAS (lettera 24 luglio 2012 destinata alla Cassa Cantonale di Compensazione AVS AI IPG, Bellinzona) che “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 delle rendite vecchiaia singole minime (STCA 36.2012.33 del 4 settembre 2012 riassunta in RTiD 2013 I pag. 63 e 64 no. 12 e STCA 36.2012.71 del 21 gennaio 2013 consid. 2.7.). Con l’Ordinanza 13 del 21 settembre 2012 sugli adeguamenti all’evoluzione dei prezzi e dei salari nell’AVS/AI/IPG il Consiglio Federale ha previsto un incremento (arrotondato) dello 0,9% ma che in realtà assomma allo 0,86209, mentre con l’Ordinanza 15 sugli adeguamenti all'evoluzione dei prezzi e dei salari nell'AVS/AI/IPG del 15 ottobre 2014 l’adeguamento è dello 0,4%. Anche in questo caso si tratta di percentuale arrotondata, il calcolo effettivo dell’adeguamento è dello 0,42735%. La Cassa deve rifarsi, in applicazione dell’art. 18 RLCAMal, al limite di fabbisogno minimo ai sensi della Laps corrispondente a quello valido per l’anno precedente all’anno di competenza. Nel caso concreto al 2014. L’importo considerato dall’amministrazione per l’UR composta dai ricorrenti, è aggiornato ai valori del biennio 2011 e 2012, ma non ai valori del 2013 e 2014 in applicazione dell’Ordinanza 13 citata. L’amiminstrazione ha correttamente determinato il valore del fabbisogno in applicazione delle norme transitorie della Legge sull’armonizzazione e il coordinamento delle prestazioni sociali che, all’art. 37, prevede come, in “ deroga all’art. 10, per gli anni 2013 e 2014, fanno stato i limiti previsti dalla legge per gli anni 2011 e 2012 ”. La norma in questione è stata approvata dal Parlamento mediante legge del 20 dicembre 2012 in vigore dal 15 febbraio 2013 (BU 2013 p. 94). In concreto dunque la Cassa cantonale di compensazione AVS AI IPG ha cifrato correttamente il fabbisogno. I valori limite della prima persona supplementare e del titolare del diritto (per riprendere i termini dell’art. 10 cpv. 1 Laps) aggiornati al 2011/2012 assommano a CHF 26'052 complessivamente. 2.15.   Da quello che precede discende che il reddito disponibile massimo è di: 3.4 x (CHF 26'052 : 2) = CHF 44'288,40 Importo inferiore rispetto ai CHF 48'809 costituenti il reddito disponibile dei ricorrenti. Ne discende che l’operato della Cassa cantonale di compensazione AVS AI IPG è corretto e la decisione impugnata va confermata in questa sede. Il ricorso deve quindi essere respinto senza carico di tassa di giustizia e spese e senza attribuzione di ripetibili, come di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