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36.2015.43 vom 13. Juli 2015</w:t>
      </w:r>
    </w:p>
    <w:p>
      <w:r>
        <w:t>TI Tribunale d'appello, 2015-07-13, IT</w:t>
      </w:r>
    </w:p>
    <w:p>
      <w:r>
        <w:rPr>
          <w:b/>
        </w:rPr>
        <w:t xml:space="preserve">Quelle: </w:t>
      </w:r>
      <w:r>
        <w:t>https://mcp.opencaselaw.ch/entscheid/ti_gerichte_36.2015.43</w:t>
      </w:r>
    </w:p>
    <w:p>
      <w:r>
        <w:t>FR: TI_GERICHTE 36.2015.43 du 13 juillet 2015</w:t>
      </w:r>
    </w:p>
    <w:p>
      <w:r>
        <w:t>IT: TI_GERICHTE 36.2015.43 del 13 luglio 2015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n.36.2015.43</w:t>
      </w:r>
    </w:p>
    <w:p>
      <w:r>
        <w:t>cs</w:t>
      </w:r>
    </w:p>
    <w:p>
      <w:r>
        <w:t>Lugano</w:t>
      </w:r>
    </w:p>
    <w:p>
      <w:r>
        <w:t>13 luglio 2015</w:t>
      </w:r>
    </w:p>
    <w:p>
      <w:r>
        <w:t>In nomedella Repubblica e CantoneTicino</w:t>
      </w:r>
    </w:p>
    <w:p>
      <w:r>
        <w:t>Il giudice delegato</w:t>
      </w:r>
    </w:p>
    <w:p>
      <w:r>
        <w:t>del Tribunale cantonale delle assicurazioni</w:t>
      </w:r>
    </w:p>
    <w:p>
      <w:r>
        <w:t>Giudice Ivano Ranzanici</w:t>
      </w:r>
    </w:p>
    <w:p>
      <w:r>
        <w:t>con redattore:</w:t>
      </w:r>
    </w:p>
    <w:p>
      <w:r>
        <w:t>Christian Steffen, vicecancelliere</w:t>
      </w:r>
    </w:p>
    <w:p>
      <w:r>
        <w:t>segretario:</w:t>
      </w:r>
    </w:p>
    <w:p>
      <w:r>
        <w:t>Gianluca Menghetti</w:t>
      </w:r>
    </w:p>
    <w:p>
      <w:r>
        <w:t>statuendo sul ricorso del 1° giugno 2015 di</w:t>
      </w:r>
    </w:p>
    <w:p>
      <w:r>
        <w:t>RI 1</w:t>
      </w:r>
    </w:p>
    <w:p>
      <w:r>
        <w:t>contro</w:t>
      </w:r>
    </w:p>
    <w:p>
      <w:r>
        <w:t>la decisione su opposizione del 22 maggio 2015 emanata da</w:t>
      </w:r>
    </w:p>
    <w:p>
      <w:r>
        <w:t>CO 1</w:t>
      </w:r>
    </w:p>
    <w:p>
      <w:r>
        <w:t>in materia di assicurazione sociale contro le malattie</w:t>
      </w:r>
    </w:p>
    <w:p>
      <w:r>
        <w:t>consideratoin fatto ed in diritto che</w:t>
      </w:r>
    </w:p>
    <w:p>
      <w:r>
        <w:t>-CO 1 ha concluso affermando:</w:t>
      </w:r>
    </w:p>
    <w:p>
      <w:r>
        <w:t>-in primo luogo va evidenziato come ai sensi dellart. 58 cpv. 1 LPGA è competente il tribunale delle assicurazioni del cantone dove lassicurato o il terzo è domiciliato nel momento in cui interpone il ricorso,</w:t>
      </w:r>
    </w:p>
    <w:p>
      <w:r>
        <w:t>-la dottrina (Kieser, ATSG Kommentar, 2a edizione, 2009, n. 12 ad art. 58, pag. 725), rammenta che:</w:t>
      </w:r>
    </w:p>
    <w:p>
      <w:r>
        <w:t>-lassicuratore a motivazione della sua decisione di non entrata in materia sullopposizione, sostiene che allinsorgente non è stata data procura dagli altri due eredi, e meglio la figlia domiciliata nel Canton __________ ed il figlio domiciliato negli __________, di rappresentare la comunione ereditaria, per cui non sarebbe legittimato a inoltrare ricorso,</w:t>
      </w:r>
    </w:p>
    <w:p>
      <w:r>
        <w:t>-per lart. 59 LPGA ha diritto di ricorrere chiunque è toccato dalla decisione o dalla decisione su opposizione e ha un interesse degno di protezione al suo annullamento o alla sua modificazione,</w:t>
      </w:r>
    </w:p>
    <w:p>
      <w:r>
        <w:t>-la dottrina (Kieser, op. cit., n. 12 ad art. 59, pag. 737), rileva che:</w:t>
      </w:r>
    </w:p>
    <w:p>
      <w:r>
        <w:t>-tuttavia, occorre ancora che le condizioni di cui allart. 89 cpv. 1 LTF (in precedenza art. 103 OG), siano adempiute (cfr. DTF 99 V 58; DTF 136 V 7; Kieser, op. cit., n. 12 ad art. 59, pag. 737),</w:t>
      </w:r>
    </w:p>
    <w:p>
      <w:r>
        <w:t>-ai sensi dellart. 89 cpv. 1 LTF ha diritto di interporre ricorso in materia di diritto pubblico chi ha partecipato al procedimento dinanzi allautorità inferiore o è stato privato della possibilità di farlo (lett. a), è particolarmente toccato dalla decisione o dallatto normativo impugnati (lett. b), ha un interesse degno di protezione allannullamento o alla modifica degli stessi (lett. c),</w:t>
      </w:r>
    </w:p>
    <w:p>
      <w:r>
        <w:t>-nel caso di specie, essendo pacificamente adempiute le condizioni di cui alle lettere a e b, occorre esaminare se linsorgente ha un interesse degno di protezione allannullamento o alla modifica della decisione (lett. c),</w:t>
      </w:r>
    </w:p>
    <w:p>
      <w:r>
        <w:t>-con sentenza 9C_114/2011 del 7 luglio 2011 il TF, a questo proposito, ha affermato:</w:t>
      </w:r>
    </w:p>
    <w:p>
      <w:r>
        <w:t>-in altre parole vi è un interesse degno di protezione allannullamento della decisione laddove la situazione giuridica o di fatto del ricorrente viene influenzata dallesito della procedura, ossia se uno svantaggio immediato, materiale o ideale può essere sanato con laccoglimento del ricorso,</w:t>
      </w:r>
    </w:p>
    <w:p>
      <w:r>
        <w:t>-in concreto unico oggetto della controversia (cfr. ricorso, doc. I) è una fattura di fr. 4'063 dell8 maggio 2008 (doc. A2), composta di fr. 10 di Outcome-Messung, di fr. 327 di TP (ossia Tagespauschale) mit Tagesbezug ONK, 2 x fr. 2133 di TP mit Fallbezug ONK, importi tutti rimborsati dallassicuratore, oltre fr. 67 pagati dallassicurato poiché relativi a spese telefoniche (fr. 1) e spese funerarie (fr. 66) non a carico della LAMal,</w:t>
      </w:r>
    </w:p>
    <w:p>
      <w:r>
        <w:t>-di questa fattura linsorgente contesta la circostanza che limporto forfetario di fr. 2'133, conteggiato due volte dallOspedale universitario del Canton __________, e inizialmente pagato dallassicuratore, sia stato stornato nel corso del 2010 poiché erroneamente conteggiato dal nosocomio __________ ed abbia portato allemissione di una nuova fattura di fr. 2'470 (ossia fr. 4'603  2133) in luogo di fr. 4'603 come in precedenza,</w:t>
      </w:r>
    </w:p>
    <w:p>
      <w:r>
        <w:t>-linsorgente chiede a questo Tribunale di indurre lassicuratore a ricostituire la fattura dell8 maggio 2008 con entrambi i forfait, riportando il totale complessivo a fr. 4603 ed a comunicargli per iscritto i lavori eseguiti post mortem sulla moglie defunta e fatturati con il secondo importo forfetario (cfr. doc. I:[] Unica base di questo Ricorso è la fattura __________ dal 10.6.2008, all. A 2 [] e 8. Due richieste al Tribunale: 8.1 Che il Tribunale induchi la CO 1 a comunicarmi per iscritto tutti i lavori eseguiti post mortem sulla moglie defunta e fatturati con il secondo importo forfait in A.2. 8.2 Che la CO 1 ricostituisca A.2. nella forma originaria con informazione all__________ e a me),</w:t>
      </w:r>
    </w:p>
    <w:p>
      <w:r>
        <w:t>-egli ritiene infatti che il secondo importo forfettario, nel frattempo annullato e restituito, sia parte di una cura illegale praticata sulla moglie dal 2005 e che quanto fatturato comprovi che sarebbero state eseguite illegalmente cure post mortem,</w:t>
      </w:r>
    </w:p>
    <w:p>
      <w:r>
        <w:t>-in concreto tuttavia, nellambito della LAMal, linsorgente non ha alcun interesse immediato di natura ideale od economica ad ottenere quanto richiesto,</w:t>
      </w:r>
    </w:p>
    <w:p>
      <w:r>
        <w:t>-infatti da una parte la ricostituzione della fattura originaria dell8 maggio 2008 con conseguente aumento del forfait dovuto, non ha alcun influsso positivo sul suo patrimonio o quello della successione,</w:t>
      </w:r>
    </w:p>
    <w:p>
      <w:r>
        <w:t>-daltra parte la questione di presunti interventi effettuati post mortem è già stata risolta il 28 gennaio 2011, quando lassicuratore, dopo aver fatto esaminare lintera documentazione dal proprio servizio medico fiduciario (doc. V/15), ha potuto stabilire lassenza di qualsiasi intervento post mortem contrario allarte medica (cfr. doc. V/15), così come, in generale, la correttezza dellagire del nosocomio __________ ai sensi dellart. 56 LAMal (economicità delle prestazioni; cfr. anche decisione su opposizione dell8 febbraio 2013, doc. V/3),</w:t>
      </w:r>
    </w:p>
    <w:p>
      <w:r>
        <w:t>-eventuali asserite, ma in concreto non comprovate, manchevolezze o presunti atti non conformi alle regole dellarte eseguiti presso il nosocomio __________ negli anni dal 2005 al 2008 sono semmai da far valere nei confronti dei presunti responsabili, con eventuali azioni civili e/o penali,</w:t>
      </w:r>
    </w:p>
    <w:p>
      <w:r>
        <w:t>-alla luce di tutto quanto sopra esposto il ricorso, nella limitata misura in cui è ricevibile, deve essere respinto,</w:t>
      </w:r>
    </w:p>
    <w:p>
      <w:r>
        <w:t>Per questi motivi</w:t>
      </w:r>
    </w:p>
    <w:p>
      <w:r>
        <w:t>dichiara e pronuncia</w:t>
      </w:r>
    </w:p>
    <w:p>
      <w:r>
        <w:t>Per il Tribunale cantonale delle assicurazioni</w:t>
      </w:r>
    </w:p>
    <w:p>
      <w:r>
        <w:t>Il giudice delegato                                                Il segretario</w:t>
      </w:r>
    </w:p>
    <w:p>
      <w:r>
        <w:t>Ivano Ranzanici                                                   Gianluca Menghetti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