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36.2015.28 vom 2. Februar 2017</w:t>
      </w:r>
    </w:p>
    <w:p>
      <w:r>
        <w:t>TI Tribunale d'appello, 2017-02-02, IT</w:t>
      </w:r>
    </w:p>
    <w:p>
      <w:r>
        <w:rPr>
          <w:b/>
        </w:rPr>
        <w:t xml:space="preserve">Quelle: </w:t>
      </w:r>
      <w:r>
        <w:t>https://mcp.opencaselaw.ch/entscheid/ti_gerichte_36.2015.28</w:t>
      </w:r>
    </w:p>
    <w:p>
      <w:r>
        <w:t>FR: TI_GERICHTE 36.2015.28 du 2 février 2017</w:t>
      </w:r>
    </w:p>
    <w:p>
      <w:r>
        <w:t>IT: TI_GERICHTE 36.2015.28 del 2 febbraio 2017</w:t>
      </w:r>
    </w:p>
    <w:p>
      <w:pPr>
        <w:pStyle w:val="Heading2"/>
      </w:pPr>
      <w:r>
        <w:t>Erwägungen</w:t>
      </w:r>
    </w:p>
    <w:p>
      <w:r>
        <w:rPr>
          <w:b/>
        </w:rPr>
        <w:t>E. 1</w:t>
      </w:r>
    </w:p>
    <w:p>
      <w:r>
        <w:t>L'azione di risarcimento o di riparazione si prescrive in un anno decorribile dal giorno in cui il danneggiato conobbe il danno e la persona responsabile, e in ogni caso nel termine di dieci anni dal giorno dell'atto che ha causato il danno.</w:t>
      </w:r>
    </w:p>
    <w:p>
      <w:r>
        <w:rPr>
          <w:b/>
        </w:rPr>
        <w:t>E. 2</w:t>
      </w:r>
    </w:p>
    <w:p>
      <w:r>
        <w:t>Se però la detta azione deriva da un atto punibile, a riguardo del quale la legislazione penale stabilisca una prescrizione più lunga, questa si applica anche all'azione civile.</w:t>
      </w:r>
    </w:p>
    <w:p>
      <w:r>
        <w:rPr>
          <w:b/>
        </w:rPr>
        <w:t>E. 3</w:t>
      </w:r>
    </w:p>
    <w:p>
      <w:r>
        <w:t>. Auflage, 1995, S. 386) .”; cfr. DTF 131 III 314 consid. 2.3: “ […] Der Wortlaut von Art. 40 VVG ist klar. Werden leistungsbegründende Tatsachen zum Zweck der Täuschung unrichtig mitgeteilt oder verschwiegen, ist der Versicherer an den Vertrag nicht gebunden” ; cfr. anche sentenza 4A_17/2011 del 14 marzo 2011, consid. 2: „ […] L’assureur peut alors refuser toute prestation, ce même si la fraude se rapporte à une partie seulement du dommage […] “; cfr. sentenza 12.2008.202 del 17 gennaio 2011 della Seconda Camera Civile del Tribunale d’appello, confermata dalla sentenza 4A_131/2011 del 4 agosto 2011). Pure la dottrina (Nef, op. cit., n. 47 e seguenti ad art. 40 LCA)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 Radiomöbel ”) di troppo o quella di un noleggiatore di automobili cui è stata negata tutta la prestazione relativa ad un’auto rubata del valore di Fr. 129'610.-, poiché aveva prodotto una falsa fattura con un valore aggiuntivo di Fr. 5'390.-. Di principio in caso di frode nella dichiarazione del sinistro, se l’assicuratore disdice il contratto, quest’ultimo è sciolto retroattivamente con il sorgere del sinistro e non solo dal momento in cui è stata commessa la frode assicurativa (Nef, op. cit., n. 53 ad art. 40 LCA [cfr. anche n. 48]; cfr. sentenza 4A_17/2011 del 14 marzo 2011 consid. 2; cfr. anche sentenza 5C.2/2007 del 17 ottobre 2007, dove il TF ha annullato una sentenza cantonale e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LCA). L’obbligo di restituzione si fonda sulle norme relative all’arricchimento illecito di cui agli art. 62 e seguenti CO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 Cfr. anche Nef, op. cit., n. 1, 47 e 55 ad art. 40 LCA; cfr. sentenza 5C.11/2002 dell’11 aprile 2002, consid. 2a)bb). 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(ATF 131 III 314 consid. 2.3) […]” ). 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è tenuta alla restituzione della somma complessiva di Fr. 7'926,60 versata dall’assicuratore per finte prestazioni dal 2004 al 2011, per di più non contestata, di cui si è ritrovata arricchita senza valida causa, non essendoci alla base una giustificata controprestazione. 2.10.   L’assicuratore chiede il pagamento di un importo di Fr. 150.- a titolo di risarcimento danni ai sensi degli artt. 41 e seguenti CO (doc. I punto 3.4 pag. 7). A questo proposito l ’assicuratore afferma che “ La richiesta si giustifica in particolare per: - il lavoro supplementare causato a AT 1 (soprattutto al team incasso, il centro servizi, e il servizio giuridico, ...) dall'agire illegale della convenuta – accertato con il decreto d’accusa del 10.08.2015 - per la trattazione della pratica. Il lavoro è senz'altro stimabile in un paio di ore, non inferiore alle 4 e, comprende: la visione atti penali, la valutazione (in team) della misura da adottare, la corrispondenza concernente la misura adottata (con lo scritto del 21.10.2013, storno prestazioni del 18 e 23.10.2014, scritti AT 1 del 14.11.2013 e 20.01.2014, il sollecito e la diffida, l'avvio della procedura esecutiva e giudiziaria, etc); - i costi postali di corrispondenza (almeno CHF 25); - le fotocopie (atti penali e altro, necessari per la prosecuzione della pratica: min 150 copie); - le spese di 1 trasferta al ministero pubblico per la visione atti; - etc. Il danno di AT 1 è pertanto senz'altro quantificabile nell'importo forfettario di CHF 150, che è proporzionale ai dispendi avuti nella fattispecie. Se si considera che anche in ambito LAMal, a determinate condizioni, si giustifica prelevare dall’assicurato moroso spese giustificate per il dispendio avuto, si può buon capire che la richiesta di rimborso spese si giustifica nella fattispecie, in presenza di un agire illegale da parte dell’assicurata. ” (doc. X). Con sentenza 12.2012.5 del 18 febbraio 2013 la Seconda Camera Civile del Tribunale d’Appello ha rammentato (cfr. anche le sentenze 36.2015.66 del 31 agosto 2016; 36.2015.36 dell’11 novembre 2015 e 36.2013.54 del 26 febbraio 2014):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 In concreto l’assicuratore non ha dovuto far capo ad un legale, avendo a disposizione un servizio giuridico interno. Tuttavia, nella misura in cui ha dovuto avviare una procedura esecutiva e in seguito civile nei confronti dell’assicurata, che ha negato di dovere restituire alcunché avendo fatto opposizione al precetto esecutivo malgrado il suo agire fosse stato sin dagli interrogatori del 2013 contrario alla legge, l’importo di Fr. 150.-, proporzionato rispetto all’ammontare chiesto in restituzione, per le spese di corrispondenza, di fotocopie dell’incarto penale, di trasferta presso il Ministero Pubblico e di richieste di atti a tale autorità, va senz’altro riconosciuto dal TCA ( per dei casi simili, cfr. 36.2016.32+34 del 3 ottobre 2016; STCA 36.2015.38 del 29 settembre 2016; STCA 36.2015.66 del 31 agosto 2016). 2.11.   Alla luce di tutto quanto sopra esposto la convenuta deve essere condannata a versare all’assicuratore malattia l’importo totale di Fr. 8'076,60. Di conseguenza, l’opposizione al PE n. __________ dell’U__________ di __________ del 28 aprile 2014 è rigettata in via definitiva per il medesimo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