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36.2014.15 vom 21. Juli 2014</w:t>
      </w:r>
    </w:p>
    <w:p>
      <w:r>
        <w:t>TI Tribunale d'appello, 2014-07-21, IT</w:t>
      </w:r>
    </w:p>
    <w:p>
      <w:r>
        <w:rPr>
          <w:b/>
        </w:rPr>
        <w:t xml:space="preserve">Quelle: </w:t>
      </w:r>
      <w:r>
        <w:t>https://mcp.opencaselaw.ch/entscheid/ti_gerichte_36.2014.15</w:t>
      </w:r>
    </w:p>
    <w:p>
      <w:r>
        <w:t>FR: TI_GERICHTE 36.2014.15 du 21 juillet 2014</w:t>
      </w:r>
    </w:p>
    <w:p>
      <w:r>
        <w:t>IT: TI_GERICHTE 36.2014.15 del 21 luglio 2014</w:t>
      </w:r>
    </w:p>
    <w:p>
      <w:pPr>
        <w:pStyle w:val="Heading2"/>
      </w:pPr>
      <w:r>
        <w:t>Regeste</w:t>
      </w:r>
    </w:p>
    <w:p>
      <w:r>
        <w:t>Indennità giornaliera per malattia sorta dopo l'uscita dell'attore dalla cerchia degli assicurati e quindi non c'è diritto a prestazioni,visto che le CGA escludono questo D oltre la scadenza del contratto di lavoro. No D al libero passaggio non essendo disoccupato LADI.Richiesta cmq oltre il termine</w:t>
      </w:r>
    </w:p>
    <w:p>
      <w:pPr>
        <w:pStyle w:val="Heading2"/>
      </w:pPr>
      <w:r>
        <w:t>Erwägungen</w:t>
      </w:r>
    </w:p>
    <w:p>
      <w:r>
        <w:rPr>
          <w:b/>
        </w:rPr>
        <w:t>E. 10</w:t>
      </w:r>
    </w:p>
    <w:p>
      <w:r>
        <w:t>novembre 2011, comunica espressamente ai lavoratori delle informazioni circa i diritti sul passaggio in un'assicurazione individuale. D'avviso del TCA, la segnalazione da parte del datore di lavoro che il lavoratore non aveva diritto di passare all'assicurazione individuale per perdita di guadagno a meno che fosse disoccupato ai sensi dell'art. 10 LADI, era chiara ed intellegibile anche per l'assicurato, soprattutto se si considera che era indicata in grassetto e spiccava particolarmente in mezzo a tutte le altre condizioni. Di conseguenza, la responsabilità per non avere chiesto il trasferimento nell'assicurazione individuale ricade, semmai, unicamente sul lavoratore medesimo, essendone stato convenientemente avvisato. Non va dimenticato che in concreto il contratto ha (breve) durata determinata e l'evento (infortunio) si è avverato 3 settimane dopo la sua conclusione e le relative avvertenze. Quand'anche si ritenesse, per mera ipotesi di lavoro, che l'interessato debba essere considerato come un disoccupato ai sensi dell'art. 10 LADI, secondo il Promemoria n. 1 egli disponeva di un termine di tre mesi per fare valere il suo diritto al trasferimento dal momento dell'effettivo licenziamento. Orbene, il rappresentante dell'attore ha espressamente chiesto per la prima volta all'assicuratore malattia di passare all'assicurazione individuale (soltanto) l'8 ottobre 2012 - mentre __________ ne è stato avvisato con scritto del 6 luglio 2012 (doc. K). Di conseguenza, è evidente che questa richiesta è stata formulata manifestamente al di là del termine di tre mesi concesso dall'art. 8 del Promemoria n. 1 decorrente dalla cessazione della copertura collettiva, che si è realizzata con l'uscita dell'attore dalla cerchia degli assicurati al 2 dicembre 2011. Da quanto precede deriva che il diritto del libero passaggio dell'attore all'assicurazione individuale non è dato. 8.   Stanti le considerazioni esposte, la pretesa dell'attore nei confronti dell'assicuratore malattia convenuto non può essere tutelata e, pertanto, dalla malattia (lombalgia) certificata dal 1° maggio 2012 egli non può pretendere il riconoscimento di prestazioni di indennità giornaliera né dall'assicurazione collettiva né tanto meno da quella individuale nei confronti di CV 1. Può rimanere dunque qui indeciso l'esame del suo grado di incapacità lavorativa e di guadagno, senza che quindi occorra richiamare gli atti dall'Ufficio AI come richiesto dall'attore (doc. I). 9.   Va qui rammentato che con sentenza 4A_83/2013 del 20 giugno 2013 il TF ha affermato: "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