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36.2013.56 vom 17. Oktober 2013</w:t>
      </w:r>
    </w:p>
    <w:p>
      <w:r>
        <w:t>TI Tribunale d'appello, 2013-10-17, IT</w:t>
      </w:r>
    </w:p>
    <w:p>
      <w:r>
        <w:rPr>
          <w:b/>
        </w:rPr>
        <w:t xml:space="preserve">Quelle: </w:t>
      </w:r>
      <w:r>
        <w:t>https://mcp.opencaselaw.ch/entscheid/ti_gerichte_36.2013.56</w:t>
      </w:r>
    </w:p>
    <w:p>
      <w:r>
        <w:t>FR: TI_GERICHTE 36.2013.56 du 17 octobre 2013</w:t>
      </w:r>
    </w:p>
    <w:p>
      <w:r>
        <w:t>IT: TI_GERICHTE 36.2013.56 del 17 ottobre 2013</w:t>
      </w:r>
    </w:p>
    <w:p>
      <w:pPr>
        <w:pStyle w:val="Heading2"/>
      </w:pPr>
      <w:r>
        <w:t>Regeste</w:t>
      </w:r>
    </w:p>
    <w:p>
      <w:r>
        <w:t>Richiesta di indennità giornaliere in caso di malattia. Decisione della cassa di assegnare indennità nella misura del 29% confermata</w:t>
      </w:r>
    </w:p>
    <w:p>
      <w:pPr>
        <w:pStyle w:val="Heading2"/>
      </w:pPr>
      <w:r>
        <w:t>Erwägungen</w:t>
      </w:r>
    </w:p>
    <w:p>
      <w:r>
        <w:rPr>
          <w:b/>
        </w:rPr>
        <w:t>E. 27</w:t>
      </w:r>
    </w:p>
    <w:p>
      <w:r>
        <w:t>agosto 2004, I 543/03, consid. 4.3 e del 22 ottobre 2001,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Circa l’età del ricorrente va poi evidenziato che con sentenza 9C_695/2010 del 15 marzo 2011 il TF, nel caso di un assicurato nato nel 1948, che ha lavorato quale rappresentante/autista dal 1988 come dipendente della medesima società, ha in sostanza ritenuto che, sia prendendo in considerazione il momento della modifica del diritto alla rendita (__________), sia quello della decisione impugnata (__________), l’interessato non poteva invocare la giurisprudenza secondo la quale, in considerazione dell’età avanzata, non gli poteva essere richiesto di cambiare professione (“ 6.2 Il convient encore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arrêts 9C _949/2008 du 2 juin 2009 consid. 2; 9C _651/2008 du 9 octobre 2009 consid. 6.2.2.2). En effet, que l'on retienne le moment où la modification du droit à la rente prend effet ou le moment de la décision litigieuse, le recourant, alors âgé de 58 ans, respectivement de 60 ans, n'avait pas atteint le seuil à partir duquel la jurisprudence considère généralement qu'il n'existe plus de possibilité réaliste d'exploiter la capacité résiduelle de travail sur un marché du travail supposé équilibré (cf. arrêt 9C _651/2008 du 9 octobre 2009 consid. 6.2.2.2). A l'appui de son argumentation, le recourant se réfère certes à trois arrêts (arrêts 9C _578/2009 du 29 décembre 2009; 9C _651/2008 du 9 octobre 2009; 9C _612/2007 du 14 juillet 2008) dans lesquels le Tribunal fédéral avait constaté l'impossibilité pour l'assuré de se reconvertir dans une nouvelle profession. Toutefois, les circonstances du cas d'espèce ne sont pas comparables à celles des cas cités par le recourant “). L’Alta Corte ha evidenziato che l’insorgente, pur se al servizio del medesimo datore di lavoro da 20 anni, era comunque già stato confrontato almeno una volta ad un cambiamento professionale e il suo caso non poteva essere assimilato a quello di un indipendente che ha sempre svolto la medesima attività (“ En l'occurrence, avant d'être au service du même employeur pendant 20 ans, il a exercé le métier de serveur pour plusieurs employeurs. Il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 Pur riconoscendo che l’UAI avrebbe potuto indicare in maniera più precisa le attività che l’insorgente avrebbe potuto esercitare, il TF ha comunque rammentato che vi è un ampio ventaglio di attività semplici e ripetitive che non necessitano di alcuna formazione specifica e che l’interessato avrebbe potuto svolgere (“ 6 .3 Finalement, on soulignera que compte tenu des limitations fonctionnelles décrites par les médecins, le nouveau poste de travail n'impliquerait pas nécessairement d'adaptations particulières. A ce sujet, comme le soulève le recourant, on peut regretter que l'of 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 Inoltre, con sentenza 9C_924/2011 del 3 luglio 2012, a proposito di un garagista indipendente dall’inizio degli anni 1990, capace al lavoro al 50% sia nella precedente attività che in attività confacenti al suo stato di salute (poi aumentata al 70%), il TF ha rammentato che nell’ambito delle assicurazioni sociali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 5.2 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 5.2.1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 Tra le circostanze soggettive vi sono la capacità lavorativa residua o i fattori personali come l’età e la situazione professionale concreta. Fra le circostanze oggettive vi sono l’esistenza del mercato equilibrato del lavoro e la durata prevedibile del rapporto di lavoro (“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 Nel caso giudicato dal TF l’interessato, per diminuire il danno, avrebbe dovuto cambiare lavoro, guadagnando un importo superiore. Disponendo di una capacità di lavoro residua del 70% poteva esercitare altre attività come quella di gestore della logistica, nel commercio al dettaglio o come ricezionista di un garage. Inoltre, avendo 53 anni al momento in cui la questione dell’esigibilità si è posta, il ricorrente non aveva ancora raggiunto la soglia a partire dalla quale la giurisprudenza considera generalmente che non esiste più alcuna possibilità reale di sfruttare la capacità residua di lavoro in un mercato equilibrato (“ 5.2.2 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 5.2.3 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 6.2 et les arrêts cités). Par ailleurs, on ne voit pas en quoi l'argument selon lequel il s'est constitué une clientèle fidèle l'entraverait pour trouver un nouveau travail “). Infine, va segnalata la sentenza 9C_578/2009 del 29 dicembre 2009, pubblicata in SVR 6/2010 IV n. 37, inerente un agricoltore indipendente. In quel caso il TF ad un assicurato 57enne al momento della decisione litigiosa, incapace al lavoro al 50% sia nella sua precedente attività che in attività confacenti al suo stato di salute, ha riconosciuto la mezza rendita, rilevando tuttavia che si trattava di un caso limite, relativo ad un agricoltore indipen-dente che non possedeva alcuna esperienza professionale in un altro ambito e che faceva fatica a comprendere e ad adattarsi alle esigenze dei mutamenti strutturali in corso nell’agricoltura. A livello cantonale, in ambito di assicurazione per l’invalidità, vanno rammentate le sentenze 32.2006.53 del 21 settembre 2007, 32.2009.91 del 10 settembre 2009 del TCA e 32.2012.165 del 29 novembre 2012. In quest’ultimo caso si trattava di un assicurato nato nel 1953 a cui il Tribunale ha rammentato che “ da un punto di vista oggettivo nulla osta ad un cambiamento dell’attività lavorativa giacché l’insorgente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Inoltre, i posti di lavoro esigibili non sono così limitati da rendere incerta la possibilità di trovare un’occupazione in un luogo prossimo al domicilio del ricorrente che vive in una zona densamente popolata e con numerosi posti di lavoro (cfr. sentenza 9C_578/2009 del 29 dicembre 2009, pubblicata in SVR 6/2010 IV n. 37, consid. 4.3.2; nonché la già citata sentenza 9C_924/2011 del 3 luglio 2012). ” Anche nel caso di specie, il TCA deve di conseguenza concludere che l’insorgente è tenuto a cambiare attività lavorativa. Essendo nato nel 1954 non ha infatti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Inoltre l’interessato lavora in una zona in cui i posti di lavoro esigibili non sono così limitati da rendere incerta la possibilità di trovare un’occupazione. Infine, avendo lavorato dapprima 7 anni nella polizia frontaliera, poi, dal 1980, nell’edilizia come carpentiere-muratore e dal 2001 come marmista-posatore di pietre naturali (cfr. doc. 5, pag. 3), egli, come nei casi giudicati dal TF e sopra citati, è già stato confrontato, almeno una volta, ad un cambiamento di attività professionale. Alla luce di tutto quanto sopra esposto è a giusta ragione che l’assicuratore malattie ha stabilito che l’insorgente deve cambiare professione per ridurre il danno. Del resto, circa la circostanza che il medico fiduciario non avrebbe esaminato se le professioni elencate dall’assicuratore sono esigibili, va rammentato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(cfr. VSI 1998 p. 296 consid. 3b; STFA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9.   Va ora esaminato se il termine di 4 mesi per cambiare attività può essere tutelato. Con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Il TFA (dal 1° gennaio 2007: TF) ha più volte ritenuto adeguati periodi d'adattamento varianti dai 3 ai 5 mesi dall'intimazione dell'assicuratore per la ricerca di un nuovo impiego (sentenza K64/05 del 29 giugno 2006, consid. 4.1; DTF 114 V 289 consid. 5b, 111 V 239 consid. 2a con riferimenti; RAMI 2000 no. KV 112 pag. 123 consid. 3a; Gebhard Eugster, Zum Leistungsrecht der Taggeldversicherung nach KVG, in LAMal-KVG, Losanna 1997, pag. 519).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In concreto l’assicuratore, con decisione del 15 aprile 2013, ha assegnato al ricorrente un termine scadente il 14 agosto 2013 per trovare un’occupazione confacente al suo stato di salute. Questo TCA, ritenuta l’età dell’insorgente (nato nel 1954), i limiti funzionali descritti dal fiduciario e la capacità lavorativa completa in attività leggere ritiene che la decisione dell’assicuratore su questo punto sia corretta e conforme alla giurisprudenza. Quanto alla circostanza secondo cui non si potrebbe imporre ad un indipendente un termine così breve visto che sarebbe costretto a chiudere l’attività, va evidenziato quanto segue. L’assicurazione qui in discussione è stata conclusa tra la __________ e la convenuta e copre la perdita di salario in caso di malattia del personale della società. Quest’ultima ha voluto premunirsi per evitare di dover pagare il salario in caso di malattia del proprio dipendente. Tant’è che nella notifica di malattia del 12 dicembre 2012 sottoscritta sia dal ricorrente che dalla società, quale professione abituale dell’insorgente figura unicamente quella di marmista (punto 3, doc. A6) e che l’assicurazione copre la perdita del salario effettivo del proprio dipendente e non di eventuali redditi da attività indipendente o di utili societari. L’interessato, nell’ambito del contratto qui in discussione, va pertanto trattato quale dipendente. Dagli atti non risulta invece che l’interessato, personalmente, abbia concluso un’assicurazione contro la perdita di guadagno in caso di malattia per una sua eventuale attività indipendente. Del resto neppure fa valere, o rende verosimile, di essere affiliato come indipendente e di aver pagato contributi sociali in tale qualità o di essere iscritto a registro di commercio quale titolare di una ditta individuale. Non vi è pertanto spazio per una diversa valutazione, nell’ambito dell’assicurazione contro la perdita di guadagno qui in discussione , rispetto a quella effettuata dall’assicuratore. Per quanto concerne la circostanza secondo cui l’interessato sarebbe costretto a chiudere la propria attività nel giro di pochi mesi, va rilevato che l’assicuratore non ha chiesto al ricorrente di liquidare la sagl entro 4 mesi e nulla impedisce alla __________ di assumere un altro dipendente alle medesime condizioni. Infine, circa l’asserita impossibilità per l’insorgente di ottenere prestazioni di disoccupazione, va evidenziato che la questione esula dalla procedura in esame, la quale concerne unicamente le indennità per perdita di guadagno in caso di malattia. Va ora esaminato se l’assicuratore ha eseguito un corretto raffronto dei redditi. 10.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(sentenza 8C_709/2008 del 3 aprile 2009). Si tratta dunque ora di esaminare dal profilo economico le conseguenze del danno alla salute subìto dal ricorrente. Accertata quindi una capacità lavorativa del 100% in attività leggere, va ora esaminato se il raffronto dei redditi è stato effettuato correttamente. 11.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dalla notifica di malattia del 12 dicembre 2012 si evince che l’insorgente nel 2012, senza il danno alla salute, avrebbe conseguito un reddito di fr. 5'000 al mese per tredici mensilità, ossia fr. 65'000 all’anno (doc. 2). Nel 2013, anno determinante, l’interessato avrebbe guadagnato fr. 65'325 (+ 0.5%, cfr. stima trimestrale del II° trimestre 2013 in: www.bfs.admin.ch). 12.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7/8 2013, p. 94 ), esso ammonta a fr. 5'097.04 mensili oppure a fr. 61'164.48 (cfr. sentenza 32.2011.224 del 9 febbraio 2012) per l'intero anno (fr. 5'097.04 x 12, ritenuto che la quota di tredicesima è già compresa, cfr. STFA del 18 febbraio 1999, U 274/98, p. 5 consid. 3a), che corrisponde, nel 2011, a fr. 61'910 (4'901 : 40 X 41.7 [cfr. tabella B 9.2, pubblicata in La Vie économique, 7/8 2013, p. 94] X 12 : 2150 X 2171 [cfr. tabella B 10.3, pubblicata in La Vie économique, 7/8 2013, p. 95 ), nel 2012 a fr. 62'395 (61'910 : 2171 X 2188) e nel 2013 a fr. 62'707 (+ 0.5%, dati provvisori relativi al II° trimestre in: www.bfs.admin.ch) . Come visto, l’assicurato, quale marmista, avrebbe guadagnato fr. 65’325 nel 2013. Tale reddito si situa leggermente sotto la media dei salari svizzeri per un’attività equivalente (cfr. Tabella TA1 p.to 10-33 “ attività manufatturiere ”: fr. 5’192 : 40 X 41.4 X 12 mesi = 64'485 nel 2010, fr. 65’115 [:2150 X 2171] nel 2011, fr. 65’625 [: 2171 X 2188] nel 2012 e fr. 65'953 nel 2013 [+ 0.5%]). Ritenuto che la differenza percentuale tra i due redditi è inferiore al 5%, in concreto non vi sono i presupposti per ridurre il salario statistico da invalido in base al gap salariale (cfr.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di specie l’assicuratore ha preso in considerazione la riduzione massima del 25%. In concreto il TCA, ritenuto che la riduzione, nel particolare caso di specie rientra nei parametri giurisprudenziali, non vede alcun motivo per sostituire il proprio apprezzamento a quello dell’assicuratore nell’applicazione della riduzione concessa. Ne segue che il reddito da invalido di fr. 62’707 va ridotto del 25% a fr. 47'030 e va raffrontato con quello da valido di fr. 65’325 per un grado d’invalidità del 28%, inferiore dell’1% rispetto a quello calcolato dall’assicuratore. Questo TCA, che in linea di principio può riformare una decisione a svantaggio del ricorrente, dopo avergli dato la possibilità di prendere posizione in merito e averlo reso attento sulla possibilità di ritirare il ricorso (cfr. art. 61 cpv. 1 lett. d LPGA; DTF 122 V 166), considerate tutte le circostanze del caso, rinuncia ad effettuare una reformatio in peius, visto che comunque si tratta unicamente di una facoltà (cfr. sentenza del 23 giugno 2003, U 192/02; sentenza del 22 aprile 2003, U 334/02; sentenza del 2 giugno 2003, C 119/02; sentenza del 17 giugno 2003, H 313/01; DTF 119 V 249). Nel caso di specie infatti la differenza è solo dell’1% per una prestazione comunque limitata nel tempo e che viene calcolata, in parte, anche su dati statistici che vengono continuamente modificati con l’affinamento dei dati da parte delle autorità competenti. In queste condizioni il ricorso va respinto, mentre la decisione impugnata merita conferma. In data 15 ottobre 2013 il ricorrente ha rinunciato alla richiesta volta ad ottenere il diritto all’assistenza giudiziaria con gratuito patrocinio (doc. X), non essendo stato in grado di comprovare la sua indigenza. In queste condizioni, essendo l’indigenza un presupposto per ottenere l’assistenza giudiziaria con gratuito patrocinio sia in sede giudiziaria che in ambito amministrativo (cfr. Kieser, ATSG Kommentar, 2009, ad art. 37, n. 23, p. 504), la richiesta è divenuta priva di oggetto. Del resto, in assenza di qualsiasi documentazione comprovante le sue difficoltà finanziarie, la domanda sarebbe stata da respingere. 13.   L’insorgente richiama, oltre all’incarto dell’assicuratore, prodotto con la risposta di causa, anche quello relativo alla richiesta di una rendita AI e rileva che sarebbe sua intenzione produrre nuova documentazione medica relativa ad un’eventuale patologia psichiatrica. Alla luce della documentazione prodotta dalle parti il TCA rinuncia all’assunzione delle prove richieste. Circa l’incarto AI, l’insorgente non indica per quale ragione sarebbe utile ai fini dell’evasione della presente vertenza. In particolare non sostiene, né rende verosimile, che l’incarto AI conterrebbe atti medici non già prodotti dalle parti nell’ambito della presente procedura o che l’interessato sarebbe stato sottoposto ad ulteriori esami non conosciuti al Tribunale. Per quanto concerne invece l’invio di documentazione medica in ambito psichiatrico, va evidenziato che dagli atti non emerge una patologia specifica di tale natura. Il medico curante non ha infatti diagnosticato una malattia psichica ma, il 4 luglio 2013, si è limitato ad affermare che “ nel valutare eventuali attività lucrative confacenti vanno considerate le residue risorse fisiche del paziente, e la componente psicologica di una persona di 59 anni (…)” (allegato al doc. 19, sottolineatura del redattore). Va del resto qui evidenziato che eventuali peggioramenti sopraggiunti dopo l’emissione della decisione impugnata del 29 luglio 2013 vanno semmai fatti valere nell’ambito di un’altra procedura.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