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36.2012.54 vom 24. September 2012</w:t>
      </w:r>
    </w:p>
    <w:p>
      <w:r>
        <w:t>TI Tribunale d'appello, 2012-09-24, IT</w:t>
      </w:r>
    </w:p>
    <w:p>
      <w:r>
        <w:rPr>
          <w:b/>
        </w:rPr>
        <w:t xml:space="preserve">Quelle: </w:t>
      </w:r>
      <w:r>
        <w:t>https://mcp.opencaselaw.ch/entscheid/ti_gerichte_36.2012.54</w:t>
      </w:r>
    </w:p>
    <w:p>
      <w:r>
        <w:t>FR: TI_GERICHTE 36.2012.54 du 24 septembre 2012</w:t>
      </w:r>
    </w:p>
    <w:p>
      <w:r>
        <w:t>IT: TI_GERICHTE 36.2012.54 del 24 settembre 2012</w:t>
      </w:r>
    </w:p>
    <w:p>
      <w:pPr>
        <w:pStyle w:val="Heading2"/>
      </w:pPr>
      <w:r>
        <w:t>Regeste</w:t>
      </w:r>
    </w:p>
    <w:p>
      <w:r>
        <w:t>Indennità perdita di guadagno in caso di malattia. Assicurazione complementare soggetta alla LCA. Stralcio dai ruoli in seguito all'acquiescenza dell'assicuratore sulla base delle risultanze della domanda di prestazioni d'invalidità</w:t>
      </w:r>
    </w:p>
    <w:p>
      <w:pPr>
        <w:pStyle w:val="Heading2"/>
      </w:pPr>
      <w:r>
        <w:t>Erwägungen</w:t>
      </w:r>
    </w:p>
    <w:p>
      <w:r>
        <w:rPr>
          <w:b/>
        </w:rPr>
        <w:t>E. 12</w:t>
      </w:r>
    </w:p>
    <w:p>
      <w:r>
        <w:t>luglio 2011), in quanto soccombente l’assicuratore deve versare, all’interessato, rappresentato da un sindacato, le ripetibili, secondo l'art. 49 cpv. 2 LSA, i tribunali svizzeri devono trasmettere gratuitamente alla FINMA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