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36.2012.51 vom 11. März 2013</w:t>
      </w:r>
    </w:p>
    <w:p>
      <w:r>
        <w:t>TI Tribunale d'appello, 2013-03-11, IT</w:t>
      </w:r>
    </w:p>
    <w:p>
      <w:r>
        <w:rPr>
          <w:b/>
        </w:rPr>
        <w:t xml:space="preserve">Quelle: </w:t>
      </w:r>
      <w:r>
        <w:t>https://mcp.opencaselaw.ch/entscheid/ti_gerichte_36.2012.51</w:t>
      </w:r>
    </w:p>
    <w:p>
      <w:r>
        <w:t>FR: TI_GERICHTE 36.2012.51 du 11 mars 2013</w:t>
      </w:r>
    </w:p>
    <w:p>
      <w:r>
        <w:t>IT: TI_GERICHTE 36.2012.51 del 11 marzo 2013</w:t>
      </w:r>
    </w:p>
    <w:p>
      <w:pPr>
        <w:pStyle w:val="Heading2"/>
      </w:pPr>
      <w:r>
        <w:t>Regeste</w:t>
      </w:r>
    </w:p>
    <w:p>
      <w:r>
        <w:t>Assunzione dei costi di sedute di igiene dentale professionale,necessarie causa cure antitumorali che hanno causato secchezza della bocca e il rischio di carie. Rinvio atti a Cassa per verificare se dati presupposti di art. 17 e 18 OPre,altrimenti ricorrente si assume solo la prima di 3 sedute annue</w:t>
      </w:r>
    </w:p>
    <w:p>
      <w:pPr>
        <w:pStyle w:val="Heading2"/>
      </w:pPr>
      <w:r>
        <w:t>Erwägungen</w:t>
      </w:r>
    </w:p>
    <w:p>
      <w:r>
        <w:rPr>
          <w:b/>
        </w:rPr>
        <w:t>E. 19</w:t>
      </w:r>
    </w:p>
    <w:p>
      <w:r>
        <w:t>KLV umfasst die Übernahme der Kosten der zahnärztlichen Behandlung, die zur Behandlung einer schweren Allgemeinerkrankung oder ihrer Folgen notwendig ist. Für die Frage der anwendbaren Rechtsgrundlage kommt es somit darauf an, ob die schwere Erkrankung des Kausystems (Art. 17 KLV) oder die schwere Allgemeinerkrankung oder deren Behandlung (Art. 18 KLV) Ursache des Zahnleidens ist, oder ob die zahnärztliche Versorgung notwendiger Bestandteil der Behandlung einer schweren Allgemeinerkrankung darstellt (Art. 19 KLV) (Urteile K 11/06 vom 11. Juli 2006 E. 1; K 98/05 vom 30. Januar 2006 E. 2.1; K 64/04 vom 14. April 2005 E. 3.1 und 3.2; je mit Hinweisen). (…)" L'elenco delle affezioni che determinano una presa a carico dell'assicurazione obbligatoria delle cure medico-sanitarie dei trattamenti dentari è esaustivo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Nella fattispecie, d'avviso della ricorrente, i costi della profilassi dentaria vanno riconosciuti dalla Cassa malati in virtù dell'art. 19 lett. c OPre, siccome dovuti al trattamento radio- e chemioterapico avvenuto durante il 2006 per un carcinoma dell'orofaringe. 2.3.   L'art. 17 OPre prevede che l'assicurazione assume i costi delle cure dentarie attinenti alle malattie gravi e non evitabili dell'apparato masticatorio se e solo se l'affezione ha carattere di malattia. Le malattie gravi e non evitabili sono, fra le altre, le seguenti: "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L'art. 18 OPre dispone che l 'assicurazione assume i costi delle cure dentarie attinenti a determinate malattie gravi sistemiche o ai loro postumi e necessarie al trattamento dell'affezione (art. 31 cpv. 1 lett. b LAMal), fra le quali: " d. malattie delle ghiandole salivari." Secondo l'art. 19 OPre (malattie sistemiche; cura dentaria di focolai),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L'elenco, come detto, è esaustivo. Per cui la Cassa è tenuta ad assumersi i costi dell'intervento unicamente se l'assicurato soffre di una delle patologie elencate (DTF 130 V 472, consid. 2.4 non pubblicato; DTF 129 V 83 consid. 1.3). L'allora TFA (dal 1° gennaio 2007: Tribunale federale)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(STFA K 68/03 del 15 luglio 2004 = DTF 130 V 472 consid. 4.2 non pubblicato; DTF 124 V 199 consid. 2d; G. Eugster , Krankenversicherungsrechtliche Aspekte der zahnärztlichen Behandlung nach Art. 31 Abs. 1 KVG, in: LAMal – KVG, Recueil de travaux en l'honneur de la société suisse de droit des assurances, Losanna 1997, pag. 243).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DTF 130 V 472). 2.4.   I l TFA ha emanato diverse sentenze concernenti l'applicazione degli artt. 17-19 OPre. In particolare l'Alta Corte, in data 28 settembre 2001, ha stabilito che al fine di determinare se le spese di cura di una parodontopatia addebitabile a una chemioterapia di una patologia maligna debbano essere assunte a carico dell'assicurazione malattie obbligatoria, deve essere esaminato se l'affezione in questione costituisca un effetto secondario irreversibile dovuto a medicamenti ai sensi dell'art. 17 lett. b cifra 3 OPre (DTF 127 V 339 = SVR 2002 KV Nr. 26 pag. 91). Al considerando 7 (pag. 346), il TFA ha affermato: " (…) 7.- 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Meinung des PD Dr. med. O., Chefarzt Onkozentrum Y, die Chemotherapie zu Parodontose führen kann. Diese Auffassung vertreten auch der von der Beschwerdegegnerin als Vertrauensarzt beigezogene Prof. Dr. Dr. med. H. sowie die vom Eidg. Versicherungsgericht mit der Erstellung eines Grundsatzgutachtens beauftragten Experten. 8.- 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(Art. 32 Abs. 1 KVG)." In data 27 febbraio 2002, nella sentenza K 146/00 pubblicata in DTF 128 V 66 (risanamento dentario dopo una malattia psichica grave. Il trattamento medicamentoso di una malattia psichica grave configura una conseguenza della medesima e può quindi giustificare l'assunzione di una cura dentaria), il TFA ha indicato: " (…) Indem Gesetz und Verordnung ausdrücklich als Ursache der zahnärztlichen Behandlung auch die Folgen einer schweren Allgemein 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T._____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 (…)" Lo stesso giorno, nella causa K 139/99 pubblicata in RAMI 2002 pag. 157, l'Alta Corte ha deciso: " (…) 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5.- a) Der Beschwerdegegner, unterstützt durch den ihn behandelnden Zahnarzt Dr. med. dent. F.______,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 zu 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 6.- 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 sottolineature della redattrice ) A proposito dell'assunzione dei costi delle cure dentarie a seguito di malattia delle ghiandole salivari (art. 18 cpv. 1 lett. d OPre; in particolare la xerostomia), va qui segnalata inoltre la sentenza del 29 gennaio 2002 nella causa K 106/99 pubblicata in DTF 128 V 59 (= SVR 2002 KV Nr. 43), dove il TFA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buccale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buccale comune: " (…) 5.- a) (…) Sie hat hingegen die Zahnschäden, für welche die Kassenleistungen verlangt, als bei guter Mundhygiene vermeidbar bezeichnet. Ihrer Ansicht nach war die Mundhygiene der Beschwerdeführerin ungenügend, wären doch vier jährliche Kontrollen und Fluoridierungen angemessen und zumutbar gewesen. Aus den eingereichten Rechnungen für die Behandlungen ab 1. Januar 1996 (recte: 12. Januar 1996) sei jedoch ersichtlich, dass einzig am 28. März 1996 eine Fluoridierung und am 16. April 1996 eine Schmelzätzung und Dentinvorbehandlung mit Haftvermittler als Kariesprophylaxe durchgeführt worden seien. b) Die Beschwerdeführerin macht demgegenüber geltend, bei den Fällen von Art. 31 Abs. 1 lit. b KVG in Verbindung mit Art. 18 KLV könne Karies unvermeidbar sein. Zur sachkundigen Beantwortung der Frage der Vermeidbarkeit sei - wie bereits im kantonalen Verfahren beantragt - eine medizinische Expertise notwendig. Sie habe eine ordentliche Zahnpflege betrieben und sei stets darauf bedacht gewesen, die Mundschleimhäute nicht austrocknen zu lassen. c) Die Vorinstanz hat sich der Auffassung der Beschwerdegegnerin, wonach die in Rechnung gestellten Zahnbehandlungen bei geeigneter Prophylaxe trotz der bestehenden Xerostomie mit Sicherheit vermeidbar gewesen wären, angeschlossen. Massgebendes Kriterium sei die objektive Unvermeidbarkeit. Die Vermeidbarkeit von Parodontitis und Karies werde damit in gewissem Sinne zu einer Vermutung. Zu einer geeigneten Prophylaxe gehöre in concreto nun aber, dass sie häufiger als nur zweimal innerhalb von 16 Monaten durchgeführt werde. 6.- Den Darlegungen und insbesondere der Schlussfolgerung von Krankenkasse und Vorinstanz kann nicht beigepflichtet werden. a) Von einer "Vermutung" der Vermeidbarkeit von Karies kann nicht ausgegangen werden, auch nicht in "gewissem Sinne", wie das kantonale Gericht annimmt. Vielmehr gibt es Formen vermeidbarer und nicht vermeidbarer Karies. So hat der Verordnungsgeber mit der Aufnahme von Art. 18 lit. d KLV offensichtlich auch die Behandlung von Karies und andern Zahnschäden zur Pflichtleistung der obligatorischen Krankenpflegeversicherung gemacht, gerade eben in der Erkenntnis, dass Speicheldrüsenerkrankungen und die daraus folgende Mundtrockenheit zu nicht vermeidbaren Zahnschäden führen können. b) Die der Krankenkasse unterbreiteten Rechnungen weisen Zahnbehandlungen ab 12. Januar 1996 aus. Die erste der in den Rechnungen ausgewiesenen zahnärztlichen Verrichtungen ist das provisorische Zementieren einer Krone. Die von der Beschwerdegegnerin behauptete unzureichende Mundhygiene der Versicherten müsste vor diesem Zeitraum ausgewiesen sein. c) Entscheidend kann sodann nicht sein, ob die Beschwerdeführerin eine weniger gute Mundhygiene gehabt hat, als von der Beschwerdegegnerin als nötig und zumutbar erachtet wird, sondern vielmehr, ob die Zahnbehandlungen bei der Speicheldrüsenerkrankung und der dadurch verursachten Mundtrockenheit mit erhöhter Kariesanfälligkeit durch eine genügende und zumutbare Mundhygiene hätten vermieden werden können. Ersteres würde nämlich auf eine Sanktionierung der Beschwerdeführerin hinauslaufen, indem sie wegen ungenügender Mundhygiene der Pflichtleistung selbst dann verlustig ginge, wenn die Zahnschäden trotz optimaler, d.h. genügender und zumutbarer Mundhygiene nicht vermeidbar wären. d) Der behandelnde Zahnarzt attestiert der Versicherten eine gute Mundhygiene. Wird - wie oben dargelegt - auf eine objektive Vermeidbarkeit der Zahnschäden abgestellt, gehört dazu eine allgemein übliche genügende Mund- und Zahnhygiene (Erw. 4a).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e) Ob die Schäden, für welche die Versicherte Leistungen der Krankenkasse begehrt, bei einer solchen Mundhygiene im Sinne von Erw. 6d vermeidbar gewesen wären, kann den Akten nicht entnommen werden. Da die Beantwortung der Frage Fachwissen erfordert, hat die Beschwerdegegnerin darüber unter Wahrung der Parteirechte ein Gutachten einzuholen. Dabei geht es um die Abklärung, welche direkten Zahnschäden, vor allem Karies, und welche Folgeschäden bei einer genügenden Mundhygiene im oben dargestellten Sinne vermeidbar gewesen wären.“ ( sottolineature della redattrice ). Su tale argomento, vedi anche la STFA del 19 settembre 2001 pubblicata in DTF 127 V 328. 2.5.   Per quanto concerne il caso di specie, facendo valere che la radio- e chemioterapia a cui si è sottoposta nel 2006 le ha causato la secchezza della bocca con conseguenze a livello dentale e parodontale, la ricorrente ha chiesto alla Cassa malati di assumersi, ai sensi dell'art. 19 lett. c OPre, i costi della profilassi dentaria di cui necessita tre volte all'anno. Già nel giugno 2010 (doc. A18) il dr. med. dent. __________ aveva infatti evidenziato che l'assicurata presentava una salivazione ridotta causata dalla radioterapia, ciò che comporta, in generale, un'aumentata attività cariogena ed un rischio parodontale maggiorato. Anche il 17 gennaio 2011 (doc. A14) il dentista curante ha precisato che l'assicurata viene seguita a livello igienico con sedute regolari ogni quattro mesi, in cui avvengono i controlli del cavo orale e l'interessata viene istruita sull'apporto giornaliero di fluoro, perché le lesioni dentali che si creano sono la conseguenza delle cure antitumorali svolte in passato, che hanno portato ad una diminuzione della saliva. Nella dichiarazione del settembre 2011 (doc. A10) all'attenzione della Cassa malati dell'assicurata, il dentista curante ha ribadito che quest'ultima necessita di una regolare profilassi dentaria, da svolgere ogni quattro mesi, perché i medicamenti che ha dovuto assumere a causa del tumore e le cure antitumorali svolte in passato sono la causa della seria riduzione del flusso salivare, come confermato dai test espressamente eseguiti (doc. A12). La Cassa malati ha interpellato il medico oncologo che ha prestato le cure tumorali alla ricorrente ed il dottor __________, l'8 novembre 2010 (doc. 8), ha posto la diagnosi di carcinoma poco differenziato G3 dell'orofaringe (con aspetti di tipo carcinoma rinofaringeo), stadio pT2N1M0. Dopo avere spiegato che il trattamento di radio-chemioterapia è iniziato il 2 febbraio 2006 ed è terminato il 3 ottobre 2006, lo specialista ha osservato che grazie al trattamento molto intenso si è potuta raggiungere una remissione completa e dopo quattro anni l'interessata è quasi sicuramente guarita dal suo tumore. Tuttavia, quale conseguenza di questo trattamento molto intenso, l'assicurata non ha più avuto produzione di saliva per molto tempo ed a quel momento stava ricominciando appena appena. Lo stesso oncologo ha dichiarato che " Evidentemente una terapia così aggressiva non poteva non avere conseguenze a livello dentario. Non c'è quindi nessun dubbio che le conseguenze a livello dentario, con le quali la paziente è ora confrontata ora, siano una conseguenza diretta della terapia eseguita. È difatti anche molto noto che le conseguenze della radioterapia sono di solito tardive e che tengono ad aumentare e a peggiorare con il tempo: così per esempio i tumori secondari indotti da radioterapia, insorgono solo 15-20 anni dopo la fine della radioterapia. ". Anche la dr.ssa __________, che si è occupata del trattamento radioterapico per il carcinoma dell'orofaringe, il 12 gennaio 2011 (doc. 11) ha confermato che l'irradiazione ha coinvolto la regione mesofaringeale e il cavo orale ed è responsabile di effetti collaterali post-attinici tardivi e permanenti a livello della vascolarizzazione dentaria. Pertanto, sono da prevedere dei provvedimenti sul piano delle cure dentarie in relazione con questa cura radiante senza limiti temporali. Sentite queste opinioni, il 16 marzo 2011 (doc. 14) il dr. med. dent. __________, medico fiduciario della Cassa malati dell'assicurata, ha dato il proprio benestare all'assunzione dei costi preventivati di Fr. 1'159,40 e di Fr. 155.- in applicazione dell'art. 19 lett. c OPre. Questo parere è stato poi riportato nella lettera del 30 marzo 2011 (doc. 16) che la Cassa malati ha scritto al dentista curante. In seguito, vista la citata dichiarazione di quest'ultimo del 6 settembre 2011 sulla necessita di una regolare profilassi ogni 4 mesi, CO 1 ha nuovamente interpellato il suo medico dentista di fiducia, il quale il 22 settembre 2011 (doc. 18) ha accettato il principio che " per ridurre sensibilmente i rischi futuri, riteniamo che siano indispensabili 4 sedute d'igiene professionale all'anno .". Tuttavia, l'odontoiatra ha precisato che le prime due sedute, essendo delle normali misure di prevenzione e profilassi, debbano essere a carico dell'assicurata, mentre la Cassa malati si assume le due rimanenti sedute in virtù dell'art. 19 lett. c OPre. Occorre quindi determinare se, a ragione, la Cassa malati abbia escluso le sue prestazioni per le prime due sedute di profilassi all'anno giusta la norma citata. 2.6.   In concreto, l'applicazione dell'art. 19 OPre va esclusa, poiché i trattamenti dentari non risultano essere stati necessari per la cura della grave malattia che ha colpito l'assicurata (STCA 36.2007.63 del 23 gennaio 2008, consid. 7). Nella sentenza K 39/98 del 19 dicembre 2001 l'Alta Corte, pronunciatasi su ricorso di un assicurato che a seguito della formazione di un linfoma non hodgkin alla tonsilla destra ha dovuto sottoporsi nel 1992 a trattamenti di chemio- e radioterapia, che gli hanno causato gravi carie secondarie a tutto l'apparato masticatorio, nonché danni parodontali e una aumentata predisposizione alle infezioni dell'osso mascellare, necessitante un trattamento di risanamento della cavità orale, prevedente in particolare interventi di otturazione, di cura radicolare e di revisione parodontale, ha negato che la Cassa malati si dovesse assumere le prestazioni richieste in virtù dell'art. 19 OPre e dell'art. 18 OPre ma, semmai, giusta l'art. 17 lett. b c. 3 OPre. In particolare, al considerando 3 il TFA si è così espresso: " (…) b) In sostanza, la Corte cantonale ha correttamente ritenuto inapplicabile la norma dell'art. 19 OPre, nella sua versione determinante, valida fino al 31 dicembre 1998 (DTF 121 V 366 consid. 1b e riferimenti). Pur non limitandosi tale disposto a regolamentare solo gli interventi antecedenti, bensì garantendo in generale un'assistenza completa (quindi anche ricostruttiva) se la cura dentaria era necessaria al trattamento di una delle gravi malattie sistemiche contemplate dalla norma (cfr. DTF 124 V 199 consid. 2d; Gebhard Eugster, Krankenversicherungsrechtliche Aspekte der zahnärztlichen Behandlung nach Art. 31 Abs. 1 KVG, in: LAMal - KVG, Recueil de travaux en l'honneur de la société suisse de droit des assurances, Losanna 1997, pag. 243), va osservato che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l'interessato. Si deve pertanto ritenere che le affezioni riscontrate sono unicamente conseguenza della malattia, rispettivamente dei suoi postumi. Per completezza si osserva che tale valutazione non modifica nemmeno il nuovo testo di ordinanza, in vigore dal 1° gennaio 1999. (…)" ( sottolineature della redattrice ). Nella fattispecie, la profilassi dentaria è una conseguenza del tumore all'orofaringe di cui è stata affetta l'assicurata nel 2006, data la xerostomia che è sorta con le cure di radio- e chemioterapia del 2006. Pertanto, non essendo manifestamente necessarie per la cura di questo tumore, non è possibile porre a carico della LAMal e dell'art. 19 lett. c OPre le sedute d'igiene dentale professionale a cui si deve sottoporre la ricorrente per evitare la formazione di carie e di parodontopatie. 2.7.   Per quanto concerne l'art. 17 OPre, questa norma offre due appigli ai fini di un'assunzione a carico dell'assicurazione di base delle spese di trattamento dentario connesse con la trattazione di affezioni tumorali maligne. Da un lato, possono ricadere sotto il disposto dell'art. 17 lett. b terza cifra OPre (cfr. consid. 4) le cure dentarie resesi necessarie a seguito di un trattamento di chemioterapia originante malattie del parodonto (parodontopatie), tali affezioni potendo essere considerate effetti secondari irreversibili di medicamenti ( STFA K 39/98 del 19 dicembre 2001 ). Dall'altro lato, il trattamento di affezioni dentarie conseguenti alla cura di tumori maligni del viso, dei mascellari e del collo può essere posto a carico dell'assicurazione obbligatoria in applicazione diretta della lett. c cifra 2 OPre (cfr. consid. 4), anche se il danno dentario non è stato provocato (direttamente) dal tumore maligno in quanto tale, bensì dalle cure instaurate per il trattamento di tale malattia. Nel caso di specie, dalla documentazione non emerge alcuna informazione riguardante l'eventuale applicazione dell'art. 17 OPre e né il medico curante né il dentista di fiducia della Cassa malati si sono pronunciati al riguardo nell'ambito dell'assunzione dei costi delle misure di profilassi messe in atto dall'assicurata. Gli atti vanno quindi rinviati alla Cassa malati affinché esamini le ipotesi previste dall'art. 17 lett. b e lett. c OPre. 2.8.   Va infine esaminato se al caso di specie si può applicare l'art. 18 lett. d OPre (malattie delle ghiandole salivari), rammentando tuttavia che, con la citata DTF 128 V 59, il TFA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buccale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buccale comune. Nel caso concreto è emerso che la quantità e la qualità del flusso salivare dell'assicurata non sono nella norma. Infatti, il test che il dentista curante ha eseguito il 4 marzo 2011 ha accertato un flusso salivare dopo 30 secondi di stimolazione con blocco di paraffina di zero millilitri, così pure il flusso salivare dopo 5 minuti di stimolazione con blocco di paraffina, seppure si sia " un po' imbevuto il blocco di paraffina ma la paziente non ha mai dovuto sputare ". (doc. A12). Il medico dentista di fiducia della Cassa malati non ha mai messo in dubbio questi risultati comunicati l'8 marzo 2011 (doc. A12) e neppure fa valere che altri esami avrebbero dato esiti diversi. Anzi. La (allora) fattispecie è stata rivalutata e visto il parere positivo dato dal dottor __________ (doc. 14), CO 1 ha comunicato il 30 marzo 2011 (doc. 16) al dentista curante dell'assicurata di assumersi le cure dentarie fatturate, essendo esse in relazione con l'art. 19 lett. c OPre. Anche gli scritti successivi del dr. med. dent. __________ attestanti una seria riduzione del flusso salivare (doc. A10) - oltre a quelli precedenti attestanti già la presenza della xerostomia (doc. A17 e A18) - non sono stati messi in dubbio dall'odontoiatra a cui faceva capo la Cassa malati resistente. Pertanto, nel caso di specie è comprovata una diminuzione importante del flusso salivare tale da comportare eventuali danni ai denti, che in parte si sarebbero già realizzati (cfr. i rimborsi di Fr. 1'159,40 e di Fr. 155.- accettati con lo scritto del 30 marzo 2011). Ne discende che alla Cassa malati spetta verificare nel dettaglio anche l'applicazione dell'art. 18 cpv. 1 lett. d OPre. 2.9.   Infine, in aggiunta a quanto precede, il TCA evidenzia che il dr. med. dent. __________ ha prescritto alla ricorrente un controllo ogni quattro mesi, pari quindi a tre sedute all'anno di igiene professionale (doc. A10). L'assicurato medio, generalmente, si reca per prassi una volta all'anno a fare una seduta di igiene professionale e, qualora ve ne fosse la necessità, (contestualmente) è chiamato poi a sottoporsi ad un controllo dal proprio medico dentista di fiducia. Stante la disponibilità della Cassa malati ad assumersi due sedute di igiene dentaria e vista la necessità della ricorrente di doversi sottoporre a tre (e non quattro) igieni professionali all'anno, ciò significa che l'assicurata, semmai, fatte salve le verifiche menzionate ai considerandi che precedono, si dovrà assumere personalmente al limite soltanto la prima delle tre sedute di igiene professionale annue, mentre le altre due resteranno (comunque) a carico della Cassa malati. 2.10.   Alla luce di quanto sopra esposto, il ricorso deve essere accolto ai sensi delle considerazioni esposte, quindi gli atti vanno rinviati alla Cassa malati resistente per l'esame dei disposti art. 17 e 18 OPre e per l'emanazione di una nuova decisione sul diritto dell'assicurata al rimborso delle misure di igiene dentaria, mentre la decisione impugnata va annullata. Vincente in causa e stante il patrocinio di un legale, la ricorrente ha diritto a ripetibili comunque ridotte siccome il mandato è stato conferito a fine istruttoria e l'incidenza dell'attività del patrocinatore sull'esito del gravame è stata limitata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