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36.2011.95 vom 13. Februar 2012</w:t>
      </w:r>
    </w:p>
    <w:p>
      <w:r>
        <w:t>TI Tribunale d'appello, 2012-02-13, IT</w:t>
      </w:r>
    </w:p>
    <w:p>
      <w:r>
        <w:rPr>
          <w:b/>
        </w:rPr>
        <w:t xml:space="preserve">Quelle: </w:t>
      </w:r>
      <w:r>
        <w:t>https://mcp.opencaselaw.ch/entscheid/ti_gerichte_36.2011.95</w:t>
      </w:r>
    </w:p>
    <w:p>
      <w:r>
        <w:t>FR: TI_GERICHTE 36.2011.95 du 13 février 2012</w:t>
      </w:r>
    </w:p>
    <w:p>
      <w:r>
        <w:t>IT: TI_GERICHTE 36.2011.95 del 13 febbraio 2012</w:t>
      </w:r>
    </w:p>
    <w:p>
      <w:pPr>
        <w:pStyle w:val="Heading2"/>
      </w:pPr>
      <w:r>
        <w:t>Regeste</w:t>
      </w:r>
    </w:p>
    <w:p>
      <w:r>
        <w:t>Ricorso per denegata giustizia accolto poiché l'assicuratore non ha dato seguito alle richieste dell'insorgente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1.4</w:t>
      </w:r>
    </w:p>
    <w:p>
      <w:r>
        <w:t>p. 417/418 et les références)." (sottolineatura del redattore) Come evidenziato nel giudizio riportato, in caso di accoglimento di un ricorso per ritardata o denegata giustizia, il Tribunale ordina all’assicuratore sociale di concludere entro un termine ragionevole la procedura, rispettivamente di dar seguito alla chiesta misura (cfr. anche SVR 2001 KV 38 consid. 2b pag. 110). Il giudice non deve analizzare il merito della fattispecie ma semplicemente valutare se sussista in concreto una denegata giustizia od un ritardo ingiustificato da parte della Cassa. Qualora l’amministrazione abbia dato seguito alle domande dei ricorrenti nelle more della procedura occorre verificare, per determinare l’eventuale diritto a ripetibili stante il patrocinio, se il ricorso era necessario e se un ritardo nella reazione della Cassa è sussistito. Questi principi sono stati recentemente espressi da questo Tribunale cantonale delle Assicurazioni in una sentenza emanata nella composizione completa (sentenza del 14 novembre 2011, inc. 36.2011.72). 4.   In concreto l’assicuratore ritiene in sostanza di non dover emanare alcuna decisione sulla sospensione (o sulla revoca della sospensione) delle prestazioni LAMal, avendone già emesse 4, di cui almeno una, secondo la Cassa, sicuramente ricevuta dall’assicurato, come comproverebbe il fax datato 2 maggio 2007 del curatore dell’insorgente dove viene apparentemente fatto riferimento alla prima decisione (cfr. plico doc. 1-9), ciò che, in sede di udienza, è stato contestato dall’insorgente sulla base di un e-mail del proprio curatore (doc. VIII/2). Va innanzitutto evidenziato che con sentenza pubblicata in DTF 133 V 50, l’Alta Corte ha stabilito che la mancata entrata in materia su una domanda di riconsiderazione di una decisione non è impugnabile mediante opposizione. Il Tribunale federale ha in quell’occasione rilevato che con la riconsiderazione si impone all’amministrazione di ritornare su decisioni già cresciute in giudicato e un rifiuto della domanda non metterebbe fine al contenzioso giacché l’assicurato potrebbe chiedere nuovamente la riconsiderazione della decisione e renderebbe in sostanza privo di effetto il termine di 30 giorni per inoltrare opposizione (DTF 133 V 50 consid. 4.2). Nel caso di specie tuttavia non si tratta di decidere circa una riconsiderazione delle decisioni datate 11 aprile 2007, 6 agosto 2007, 15 ottobre 2007 e 3 marzo 2008. L’insorgente chiede infatti (anche) che l’assicuratore emetta una decisione sul ripristino della copertura delle prestazioni LAMal (o una revoca della sospensione) poiché sostiene che le citate decisioni non gli sono mai state notificate (cfr. doc. VIII). In questo senso alla richiesta di emanare una decisione formale di ripristino delle prestazioni doveva essere dato seguito tramite un provvedimento in cui la Cassa avrebbe dovuto accogliere oppure rifiutare la domanda, specificandone i motivi. In altre parole, con la decisione richiesta, l’assicuratore non deve decidere nuovamente circa la sospensione o circa la correttezza della procedura che lo ha condotto a sospendere le prestazioni LAMal, avendo già statuito in merito, ma, nel caso di mantenimento della sospensione, deve semmai indicare per quale motivo un ripristino delle prestazioni nel caso di specie non è possibile, ad esempio sostenendo di aver notificato regolarmente le decisioni dell’11 aprile 2007, 6 agosto 2007, 15 ottobre 2007 e 3 marzo 2008 e verificando che i relativi debiti posti a fondamento delle citate decisioni non sono ancora stati soluti (cfr. a questo proposito la DTF 129 V 455, dove applicando il vecchio diritto, ma il cui principio generale è tuttora valido, l’Alta Corte ha affermato che la sospensione termina con il pagamento di quei premi [incluse le spese accessorie] che hanno fatto l’oggetto dell’attestato di carenza beni [rispettivamente dell’esecuzione] all’origine dell’avvio della procedura [cfr. consid. 2.3: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Ne segue che nella misura in cui il ricorso per denegata giustizia tende alla condanna della Cassa all’emissione di una decisione formale che statuisca circa il ripristino del pagamento delle prestazioni il ricorso va accolto e l’incarto rinviato all’amministrazione per i suoi incombenti. Al ricorrente, rappresentato da una persona cognita in materia, vanno assegnate le ripetibili.</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   In virtù dell’art.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(ciò che vale anche per le decisioni formali richieste). Sono motivate e contengono un avvertimento relativo ai rimedi giuridici.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(Kieser, ATSG-Kommentar, Zurigo-Basilea-Ginevra, 2° ed. 2009, art. 56 nota 12 pag. 705). Secondo il Tribunale Federale, vi è diniego di giustizia qualora un'autorità giudiziaria od amministrativa non si occupi di una domanda, per la cui risoluzione essa é competente (DTF 114 V 147 cons. 3a e riferimenti ivi menzionati; Kieser, op. cit, art. 56 nota 12 pag. 705).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w:t>
      </w:r>
    </w:p>
    <w:p>
      <w:r>
        <w:rPr>
          <w:b/>
        </w:rPr>
        <w:t>E. 2.3</w:t>
      </w:r>
    </w:p>
    <w:p>
      <w:r>
        <w:t>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Si veda inoltre la sentenza cantonale di Ginevra pubblicata in SJ 2010 pag. 297 in particolare cons. 3.1. pag. 301 secondo cui: " Selon la jurisprudence, l'autorité qui ne traite pas un grief relevant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w:t>
      </w:r>
    </w:p>
    <w:p>
      <w:r>
        <w:rPr>
          <w:b/>
        </w:rPr>
        <w:t>E. 3</w:t>
      </w:r>
    </w:p>
    <w:p>
      <w:r>
        <w:t>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pubblicata in DTF 129 V pag. 411 e seg., l’allora TFA (dal 1° gennaio 2007: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l’allora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pronuncia, l’allora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Nella sentenza del 20 settembre 1995, causa A.L. del Tribunale TC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Il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w:t>
      </w:r>
    </w:p>
    <w:p>
      <w:r>
        <w:rPr>
          <w:b/>
        </w:rPr>
        <w:t>E. 4</w:t>
      </w:r>
    </w:p>
    <w:p>
      <w:r>
        <w:t>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w:t>
      </w:r>
    </w:p>
    <w:p>
      <w:r>
        <w:rPr>
          <w:b/>
        </w:rPr>
        <w:t>E. 5</w:t>
      </w:r>
    </w:p>
    <w:p>
      <w:r>
        <w:t>p. 323 ss; JÖRG PAUL MÜLLER, Grundrechte in der Schweiz, 3e éd., p. 505 ss; HAEFLIGER/SCHÜRMANN, op. cit., p. 200 ss; HOTTELIER, op. cit., p. 810/ 811).</w:t>
      </w:r>
    </w:p>
    <w:p>
      <w:r>
        <w:rPr>
          <w:b/>
        </w:rPr>
        <w:t>E. 5.2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w:t>
      </w:r>
    </w:p>
    <w:p>
      <w:r>
        <w:rPr>
          <w:b/>
        </w:rPr>
        <w:t>E. 5.3</w:t>
      </w:r>
    </w:p>
    <w:p>
      <w:r>
        <w:t>La sanction du dépassement du délai raisonnable ou adéquat consiste d'abord dans la constatation de la violation du principe de célérité ,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