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36.2011.88 vom 3. Februar 2012</w:t>
      </w:r>
    </w:p>
    <w:p>
      <w:r>
        <w:t>TI Tribunale d'appello, 2012-02-03, IT</w:t>
      </w:r>
    </w:p>
    <w:p>
      <w:r>
        <w:rPr>
          <w:b/>
        </w:rPr>
        <w:t xml:space="preserve">Quelle: </w:t>
      </w:r>
      <w:r>
        <w:t>https://mcp.opencaselaw.ch/entscheid/ti_gerichte_36.2011.88</w:t>
      </w:r>
    </w:p>
    <w:p>
      <w:r>
        <w:t>FR: TI_GERICHTE 36.2011.88 du 3 février 2012</w:t>
      </w:r>
    </w:p>
    <w:p>
      <w:r>
        <w:t>IT: TI_GERICHTE 36.2011.88 del 3 febbraio 2012</w:t>
      </w:r>
    </w:p>
    <w:p>
      <w:pPr>
        <w:pStyle w:val="Heading2"/>
      </w:pPr>
      <w:r>
        <w:t>Regeste</w:t>
      </w:r>
    </w:p>
    <w:p>
      <w:r>
        <w:t>Calcolo degli interessi dei premi LAMal in arretrato</w:t>
      </w:r>
    </w:p>
    <w:p>
      <w:pPr>
        <w:pStyle w:val="Heading2"/>
      </w:pPr>
      <w:r>
        <w:t>Erwägungen</w:t>
      </w:r>
    </w:p>
    <w:p>
      <w:r>
        <w:rPr>
          <w:b/>
        </w:rPr>
        <w:t>E. 9</w:t>
      </w:r>
    </w:p>
    <w:p>
      <w:r>
        <w:t>dicembre 2010, 36.2009.187, consid. 2.11), che pertanto il ricorso non può essere definito temerario, che tuttavia questo Tribunale invita il ricorrente a moderare i toni, che in tali condizioni il TCA prescinde dal prelievo di tasse e spese e dall’assegnazione di ripetibili, che infine va ribadito (cfr. sentenza 36.2009.187 del 9 dicembre 2010, pag. 24), che se il ricorrente ravvede una violazione delle norme penali può sottoporre direttamente la fattispecie al Ministero Pubblico, che tuttavia va altresì evidenziato come questo TCA nella sentenza di revisione 36.2011.39 del 6 settembre 2011 della sentenza 36.2009.187 del 9 dicembre 2010 ha rilevato come “ a fondamento della sua domanda di revisione, RI 1 sembra fare cenno a “documenti falsi” (doc. I). Non si tratta ovviamente di una tale situazione in concreto. Come ha ricordato l’assicuratore le polizze sono state modificate alla luce dei giudizi che si sono susseguiti rendendole conformi agli stessi, le polizze recano la data della loro emanazione e, conseguentemente, non adempiono manifestamente i presupposti di un falso documentale a norma dell’art. 251 CPS (sul tema si faccia riferimento a Bernard Corboz : Les infractions en droit suisse, vol. II, Staemplfli Berna 2002, ad art. 251, pag. 179 e segg. in particolare le pagine 216 e seguenti numeri 171 a 183). D’altra parte neppure il qui istante sembra dare credito a tale aspetto: egli ha infatti completamente negletto, a giusto titolo, il perseguimento dell’ipotesi di falso documentale dinanzi al magistrato competente ”, che anche per quanto concerne l’affermazione dell’insorgente, nato nel 1960, secondo cui “ l’iscrizione al Liceo Cantonale di __________ è stata falsificata, dall’autorità parentale ” e che “ l’iscrizione all’Università di __________ è stata falsificata dall’autorità parentale (…) ”, senza peraltro produrre alcun documento in tal senso, ritenute anche le norme sulla prescrizione, spetta semmai all’insorgente segnalare la fattispecie al Ministero Pubblico,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