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36.2011.81 vom 25. April 2012</w:t>
      </w:r>
    </w:p>
    <w:p>
      <w:r>
        <w:t>TI Tribunale d'appello, 2012-04-25, IT</w:t>
      </w:r>
    </w:p>
    <w:p>
      <w:r>
        <w:rPr>
          <w:b/>
        </w:rPr>
        <w:t xml:space="preserve">Quelle: </w:t>
      </w:r>
      <w:r>
        <w:t>https://mcp.opencaselaw.ch/entscheid/ti_gerichte_36.2011.81</w:t>
      </w:r>
    </w:p>
    <w:p>
      <w:r>
        <w:t>FR: TI_GERICHTE 36.2011.81 du 25 avril 2012</w:t>
      </w:r>
    </w:p>
    <w:p>
      <w:r>
        <w:t>IT: TI_GERICHTE 36.2011.81 del 25 aprile 2012</w:t>
      </w:r>
    </w:p>
    <w:p>
      <w:pPr>
        <w:pStyle w:val="Heading2"/>
      </w:pPr>
      <w:r>
        <w:t>Regeste</w:t>
      </w:r>
    </w:p>
    <w:p>
      <w:r>
        <w:t>IPG. Valutazione medica del fiduciario della Cassa: completa esaustiva eseguita dopo approfondita visita. Da condividere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   Il ricorso, presentato nel termine di 30 giorni dall’intimazione della decisione resa su opposizione è tempestivo e contiene una sufficiente esposizione dei fatti, una motivazione adeguata e conclusioni precise a seguito del decreto di completazione citato. Il gravame è quindi ricevibile in questa sede. nel merito 3.   Il Tribunale cantonale delle Assicurazioni deve risolvere il quesito a sapere se il ricorrente possa beneficiare di indennità per perdita di guadagno successivamente al 30 settembre 2011 al termine cioè del periodo concesso con decisione formale, poi confermata con decisione su opposizione, dall’assicuratore malattia per trovare una nuova attività confacente allo stato di salute alla luce dell’ammessa impossibilità di continuare la precedente attività lavorativa. 4.   Giusta l'art. 72 cpv. 1 LAMal gli assicuratori stabiliscono l’ammontare dell’indennità giornaliera assicurata d’intesa con gli stipulanti l’assicurazione. Essi possono limitare la copertura alla malattia e alla maternità.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E’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A norma dell’art. 72 cpv. 6 LAMal l’articolo 19 LPGA è applicabile unicamente se il datore di lavoro ha partecipato al finanziamento dell’assicurazione d’indennità giornaliera. Sono fatti salvi altri accordi contrattuali. 5.   Secondo la giurisprudenza sviluppatasi sull'art. 12bis cpv. 1 LAMI - applicabile anche all'attuale art. 72 LAMal ( RAMI 1998 KV 45 pag. 430) - viene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 1c; DTF 111 V 239 cons. 1b; maurer , Schweizerisches Sozialversicherungsrecht, T. I, pag. 286 segg.). L'art. 6 LPGA prevede che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Il TFA (dal 1° gennaio 2007: TF) ha rammentato che la giurisprudenza sviluppata in precedenza vale anche vigente LPGA (sentenza del 22 giugno 2004, U 193/03, cons.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 1c). Il grado dell'incapacità lavorativa viene valutato con riferimento all'impossibilità, derivante da motivi di salute, di adempiere, secondo quanto può essere ragionevolmente richiesto, la professione normalmente esercitata dall'assicurato. In relazione alle conseguenze economiche dell'incapacità lavorativa, va ricordato che anche nell'ambito dell'assicurazione contro le malattie vige il principio -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 3c; DTF 117 V 278 cons. 2b; DTF 115 V 53; DTF 114 V 285 cons. 3; DTF 111 V 239 cons. 2a; DTF 105 V 178 cons.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prospettabili.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pag. 71 e dottrina ivi citata). 6.   Come descritto dettagliatamente nelle considerazioni di fatto la patologia dell’assicurato è stata sistematicamente seguita con attenzione dall’assicuratore che ha chiesto a più riprese valutazioni del suo medico fiduciario dott. med. __________ di __________. Il professionista ha, nei suoi primi rapporti, esaminato e condiviso il persistere di una inabilità lavorativa piena così come postulato dai curanti. In data 8 giugno 2011 lo specialista  in malattie reumatiche, fisiatria e riabilitazione FMH e medicina manuale ha posto la diagnosi di: " - Lombosciatalgia subacuta a destra in/con × stato dopo asportazione microchirurgica di un'ernia discale mediana-paramediana destra in L4/5 (23.08.2010) × tessuto del pregresso intervento occupando anche il recesso latrale a destra (RM del 25.11.2010). (…)" (Doc. 29) ed ha ritenuto come le limitazioni funzionali potessero essere descritte come riportato nelle considerazioni di fatto per esteso (si faccia riferimento al punto D che precede) concludendo per una inabilità totale nell’attività di lattoniere, in assenza di ulteriore intervento chirurgico. Alla luce quindi delle limitazioni, considerate definitive, è stata ritenuta preclusione della ripresa dell'attività lucrativa svolta in precedenza, al contrario per altre attività, conformi alle limitazioni, il signor RI 1 è stato considerato  pienamente abile e ciò a partire dallo stesso giorno. Come dettagliato in precedenza la cassa ha sospeso le sue prestazioni, a partire dal 1 ottobre 2011, concedendo così un termine, ritenuto comunque congruo e non contestato come tale dal ricorrente, di quasi 4 mesi pieni per reperire una attività professionale confacente (punto 2 del ricorso). Va sin d'ora osservato come il tempo concesso dalla decisione sia conforme ai dettami di giurisprudenza e non possa qui essere oggetto di critica alcuna. 7.   Il signor RI 1 contesta tale valutazione medica e lo fa sulla scorta dei rapporti dei suoi curanti consegnati agli atti, citati e noti. Egli, a fronte della domanda di prestazioni AI, è stato sottoposto a valutazione da parte del SMR. Nel rapporto 13 luglio 2011 consegnato agli atti ed allestito dagli specialisti dott. __________, FMH in medicina interna, e __________, FMH in chirurgia, si evidenzia come il signor RI 1o soffra di una sindrome spondilogena cronica a destra con componente radicolare irritativa con stato dopo asportazione microchirurgica di un’ernia discale mediana-paramediana destra L4/5 avvenuta il 23 agosto 2010 e presentante un tessuto cicatriziale e materiale discale rimanente in sede del citato intervento e che occupa il recesso laterale a destra (come dimostrato dalla RM 25 novembre 2010).  Nelle loro valutazioni i due specialisti incaricati hanno ritenuto un carico massimo possibile di 5 kg, la necessità dell’alternanza della postura ma non la difficoltà nello svolgimento di attività di precisione o di pause supplementari. I medici hanno ritenuto, sulla scorta delle motivazioni note alle parti siccome consegnate agli atti posti a disposizione, le seguenti conclusioni: “Con uno  stesso stato di salute oggettivamente invariato nel breve tempo trascorso tra la perizia di giugno 2011 e la valutazione odierna … (è) … certamente giustificata una IL del 100% nell’abituale attività di lattoniere. Si può giudicare come lavoro adatto … un’attività che tenga pienamente conto della capacità funzionale e di carico residua e di tutti i limiti funzionali descritti … ritengo esigibile una IL del 30%” . Come indicato in precedenza il ricorrente è stato posto al beneficio di una valutazione presso il centro di accertamento professionale di __________ sulla scorta delle valutazioni ricapitolate nel verbale di chiusura del 25 agosto 2011 della responsabile signora __________ dell’AI. L'UAI ha negato un diritto ad una rendita considerando un'invalidità del 32 %. 8. Le valutazioni del dott. __________ hanno quindi trovato una sostanziale piena conferma in quelle dei medici specialisti incaricati del SMR. Dal canto loro i curanti Dr. __________ e Dr. __________ hanno ribadito (doc. 62 e 63) il persistere di una sintomatologia dolorosa, ribadendo poi una piena IL (Dr. __________) con atto del 5 luglio 2011 e del 2 agosto 2011 (doc. 67 e 68). Il dott. __________ con certificato del 5 settembre 2011, senza particolare approfondimento e senza una specifica presa di posizione sulle valutazioni del dott. __________ e del SMR, ha confermato una IL totale. Da notare come il dott. __________ abbia preso posizione invece sulle indicazioni dei curanti (doc. 76) rilevando assenza di novità tale da indurre una rivalutazione (scritto 19 settembre 2011). 9.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particolare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(BGE 125 V 351; 122 V 157)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w:t>
      </w:r>
    </w:p>
    <w:p>
      <w:r>
        <w:rPr>
          <w:b/>
        </w:rPr>
        <w:t>E. 2.3</w:t>
      </w:r>
    </w:p>
    <w:p>
      <w:r>
        <w:t>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10.   Nel caso concreto la valutazione operata dal dott. __________, medico fiduciario della Cassa, appare completa, dettagliata, precisa, motivata, esauriente nelle motivazioni e frutto di attenta, e personale, analisi diretta del paziente. Il dott. __________ è stato inoltre confrontato con gli accertamenti medici dei curanti e si è espresso in merito valutandoli sia esplicitamente che implicitamente nei suoi numerosi scritti consegnati agli atti e noti alle parti (per cui non occorre riprenderli qui in dettaglio).  La conclusione cui è giunto il dott. __________, che è specialista qualificato e competente in materia, va, come detto, pienamente condivisa. Questa valutazione trova implicita conferma nelle diagnosi e le conseguenze sull'IL quale lattoniere 19 luglio 2011 del SMR svolte sul paziente. Va quindi pienamente condivisa la valutazione secondo cui il ricorrente è completamente inabile nella sua abituale attività di lattoniere, mentre è abile in attività confacenti con le limitazioni indicate dallo specialista di __________ e riportate nelle considerazioni di fatto. Tra la valutazione del SMR e quella del dott. __________ sussistono divergenze unicamente quo alla capacità lavorativa residua in attività confacenti. L’UAI, che ha pienamente condiviso il parere dei dott. __________ e __________, non può essere qui seguito. Non va infatti dimenticato come lo specialista incaricato dall’assicuratore malattia è un esperto particolarmente qualificato nella materia medica qui in discussione, con provata esperienza nelle valutazioni di situazioni quali quella in discussione. Non solo, egli ha svolto una dettagliata visita, si è specificatamente confrontato con tutto il materiale medico raccolto ed ha valutato compiutamente la capacità residua dell’assicu-rato in una attività confacente. Le valutazioni dei due specialisti FMH in medicina interna e chirurgia del SMR non possono equivalere a quella del reumatologo specialista. Non solo, le motivazioni date dal perito incaricato dall’assicuratore malattia sono decisamente complete e convincenti. Va quindi considerato qui che il ricorrente sia completamente abile in attività confacente. Nulla muterebbe, nelle conclusioni della presente procedura, anche se si ritenessero le conclusioni del SMR poiché, in ogni caso – come appare dalla decisione dell’UAI non impugnata – non si giungerebbe ad un grado di invalidità che permetterebbe al ricorrente di beneficiare di ulteriori indennità, ciò anche volendo ritenere le basi di calcolo della Cassa, che appaiono corrette come vedremo, e non quelle dell’UAI. Come detto, comunque, questo Tribunale cantonale delle Assicurazioni condivide pienamente le considerazioni del professionista ticinese incaricato dall’assicura-tore malattia. 11.   Alla luce della situazione fisica presentata dal ricorrente e della sua incapacità la Cassa ha determinato l’invalidità residua al fine di verificare il sussistere di un diritto a rendita considerandola nulla. Come detto l’UAI competente ha emesso una decisione con cui ha concluso per un’invalidità del 32%. Il calcolo per giungere a tale determinazione – che non è stato contestato come d’altra parte il resto delle motivazioni dell’UAI – non deve qui essere esaminato in dettaglio. Il calcolo eseguito dalla Cassa va invece verificato puntualmente. L’assicuratore malattia ha ritenuto, come detto, nella decisione su opposizione, una invalidità non indennizzabile. In sostanza l’assicuratore è partito da un salario annuo da valido di CHF 51'276.00, cifra che non è stata discussa dal ricorrente tramite il patrocinatore. Nell’ambito di tale attività il salario mediano nazionale è superiore, ritenuta la percentuale del 5% riconosciuta dalla giurisprudenza in materia, del 9,11%. Considerando un salario da invalido conseguibile di CHF 61'838,10 annui in attività confacente (l’importo ritenuto dall’UAI è di CHF 85.00 inferiore ma ciò non cambia – come detto - la so-stanza delle cose, in ogni caso il ricorrente ed il suo patrocinatore non hanno discusso minimamente questo salario conseguibile da invalido in attività leggere), e ritenuta la riduzione del 9,11% si ottiene un salario conseguibile da invalido di CHF 56'204,65.  Anche se si volesse considerare una significativa riduzione del reddito conseguibile da invalido alla luce della sintomatologia dolorosa, della formazione, ritenendo l’età e l’esperienza dell’assi-curato (elemento questo non considerato nel calcolo della qui resistente e così come sembra suggerire l’UAI nel proprio provvedimento) e si volesse valutare (per il semplice e puro calcolo, tale percentuale non ha comunque alcun sostrato concreto) la percentuale massima prevista del 25%, si otterrebbe una invalidità residua non indennizzabile siccome nettamente inferiore al 50%. 12.   Da quanto precede discende che il ricorso deve essere respinto siccome l’invalidità residua del ricorrente non raggiunge una percentuale indennizzabile. Non si prelevano tasse e spese giudiziarie 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