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36.2011.66 vom 17. Oktober 2011</w:t>
      </w:r>
    </w:p>
    <w:p>
      <w:r>
        <w:t>TI Tribunale d'appello, 2011-10-17, IT</w:t>
      </w:r>
    </w:p>
    <w:p>
      <w:r>
        <w:rPr>
          <w:b/>
        </w:rPr>
        <w:t xml:space="preserve">Quelle: </w:t>
      </w:r>
      <w:r>
        <w:t>https://mcp.opencaselaw.ch/entscheid/ti_gerichte_36.2011.66</w:t>
      </w:r>
    </w:p>
    <w:p>
      <w:r>
        <w:t>FR: TI_GERICHTE 36.2011.66 du 17 octobre 2011</w:t>
      </w:r>
    </w:p>
    <w:p>
      <w:r>
        <w:t>IT: TI_GERICHTE 36.2011.66 del 17 ottobre 2011</w:t>
      </w:r>
    </w:p>
    <w:p>
      <w:pPr>
        <w:pStyle w:val="Heading2"/>
      </w:pPr>
      <w:r>
        <w:t>Regeste</w:t>
      </w:r>
    </w:p>
    <w:p>
      <w:r>
        <w:t>Decisione di rinvio di atti all'amministrazione. Reclamo per ritardata giustizia. La Cassa ha agito, insussistenza estremi intervento del giudice</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   che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 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   che la giurisprudenza del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   che nella sentenza pubblicata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come evidenziato nel giudizio riportato sopra,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   che qui il giudice non deve analizzare il merito della fattispecie ma semplicemente valutare se sussista in concreto una denegata giustizia od un ritardo ingiustificato da parte della Cassa. Qualora l’amministrazione abbia dato seguito alle domande dei ricorrenti occorre verificare, per determinare l’eventuale diritto a ripetibili stante il patrocinio, se il ricorso era necessario e se un ritardo nella reazione della Cassa è sussistito; -   che in concreto l’amministrazione ha unicamente contattato epistolarmente la datrice di lavoro con lettera che non ha potuto essere consegnata. Nuovo scritto della Cassa è stato trasmesso alla datrice di lavoro ad inizio settembre 2011; -   che indubbiamente il primo scritto alla signora __________ del 28 giugno 2011 è stato ritornato all'amministrazione verso la metà di luglio 2011. Va ammesso un certo ritardo da parte dell'amministrazione a contattare, solo quasi 2 mesi dopo, la datrice di lavoro all'indirizzo esatto; -   che nonostante tale lacuna l'assicurata si è rivolta telefonicamente alla responsabile per chiedere ragguagli senza rivolgersi per scritto e senza sollecitare quindi in maniera chiara la Cassa; -   che comunque, l'amministrazione ha – prima ancora dell'intimazione del ricorso – proseguito i suoi accertamenti; -   che non sono dati gli estremi per un intervento da parte di questo Tribunale ma l'amministrazione è invitata a volere completare le sue verifiche nei tempi più contenuti ed emanare il suo provvedimento a breve. La signora RI 1 deve finalmente vedere chiarita la sua situazione giuridica con riferimento alla LAMal ritenuto come la prima formale decisione dati dell'aprile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