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36.2011.6 vom 13. Januar 2012</w:t>
      </w:r>
    </w:p>
    <w:p>
      <w:r>
        <w:t>TI Tribunale d'appello, 2012-01-13, IT</w:t>
      </w:r>
    </w:p>
    <w:p>
      <w:r>
        <w:rPr>
          <w:b/>
        </w:rPr>
        <w:t xml:space="preserve">Quelle: </w:t>
      </w:r>
      <w:r>
        <w:t>https://mcp.opencaselaw.ch/entscheid/ti_gerichte_36.2011.6</w:t>
      </w:r>
    </w:p>
    <w:p>
      <w:r>
        <w:t>FR: TI_GERICHTE 36.2011.6 du 13 janvier 2012</w:t>
      </w:r>
    </w:p>
    <w:p>
      <w:r>
        <w:t>IT: TI_GERICHTE 36.2011.6 del 13 gennaio 2012</w:t>
      </w:r>
    </w:p>
    <w:p>
      <w:pPr>
        <w:pStyle w:val="Heading2"/>
      </w:pPr>
      <w:r>
        <w:t>Regeste</w:t>
      </w:r>
    </w:p>
    <w:p>
      <w:r>
        <w:t>Inabilità lavorativa. Valutazione di esperto incaricato dall'assicuratore. Perizia giudiziaria alle cui conclusioni il TCA si allinea</w:t>
      </w:r>
    </w:p>
    <w:p>
      <w:pPr>
        <w:pStyle w:val="Heading2"/>
      </w:pPr>
      <w:r>
        <w:t>Erwägungen</w:t>
      </w:r>
    </w:p>
    <w:p>
      <w:r>
        <w:rPr>
          <w:b/>
        </w:rPr>
        <w:t>E. 49</w:t>
      </w:r>
    </w:p>
    <w:p>
      <w:r>
        <w:t>cpv. 2 della Legge sull ' organizzazione giudiziaria (STFA del 21 luglio 2003 nella causa N., I 707/00), 2.   Secondo quanto disposto dall'art. 1a cpv. 1 LAMal, l'assicurazione sociale contro le malattie comprende l'assicurazione obbligatoria delle cure medico-sanitarie e l'assicurazione d'indennità giornaliera facoltativa. La LAMal si applica soltanto all'assicurazione malattia sociale. Le assicurazioni complementari offerte dalle casse malati sono rette dal diritto privato ed in particolare, in applicazione dell'art. 12 cpv. 3 LAMal, dalla Legge federale sul contratto d'assicurazione (LCA). Giusta l'art. 85 cpv. 2 della legge federale sulla sorveglianza delle imprese d'assicurazione del 17 dicembre 2004 (LSA), nella versione in vigore fino al 31 dicembre 2010 applicabile alla fattispecie siccome trattasi di una causa introdotta prima della modifica, il 1° gennaio 2011, di questa norma, per le controversie relative alle assicurazioni complementari all'assicurazione sociale malattie, i Cantoni prevedono una procedura semplice e spedita, nella quale il giudice accerta d'ufficio i fatti e valuta liberamente le prove. In ambito cantonale, la LCAMal all'art. 75 cpv. 1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(art. 75 cpv. 2 LCAMal anch'esso in essere solo fino al 31 dicembre 2010). In concreto, la causa concerne una vertenza relativa ad indennità giornaliere derivanti da un contratto d'assicurazione retto dalla LCA e praticato da un assicuratore sociale autorizzato all'esercizio ai sensi della LAMal. Il 1° gennaio 2011 è entrato in vigore l'art. 7 CPC (Codice di procedura civile), secondo cui i Cantoni possono designare un tribunale competente a decidere, in istanza cantonale unica, le controversie derivanti da assicurazioni complementari all'assicurazione sociale contro le malattie secondo la LAMal. Giusta l'art. 1 cpv. 2 LPTCA, il TCA giudica le altre contestazioni fondate sul diritto federale e sul diritto cantonale che gli sono attribuite dalle singole leggi, quindi anche le contestazioni in ambito d'assicurazione complementare all'assicurazione sociale. Questo Tribunale è pertanto competente a decidere nel merito della petizione. nel merito 3.   Il Tribunale cantonale delle Assicurazioni deve risolvere il quesito a sapere se AT 1 possa beneficiare, successivamente al 31 ottobre 2010 e quindi dal 1° novembre 2010, di indennità per perdita di guadagno fondate sul contratto __________, basato sulla LCA, che lega l’assicuratore qui convenuto alla __________ datrice di lavoro dell’attrice. 4.   Per quanto concerne l'indennità perdita di guadagno, va innanzitutto rilevato, come emerge da una sentenza del TF del 26 settembre 2007 (4A_53/2007), che l'art.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Verhältnis einer Krankentaggeldlösung zu Art. 324a OR, in: Krankentaggeld-versicherung: Arbeits- und versicherungsrechtliche Aspekte, Zurigo 2007, pagg. 109-131, in particolare pagg. 111-115). La durata del pagamento del salario dipende dalla durata del rapporto di lavoro (art. 324a cpv. 2 CO; sui criteri usualmente applicati dai tribunali in questi casi, cfr. Adrian von Kaenel, op. cit., pag. 116 seg.). Salvo pattuizione contraria, l'obbligo di pagamento del salario in caso di malattia cessa con la fine del rapporto di lavoro (Hans-Rudolf Müller, Grundlagen der Krankentaggeldversicherung nach VVG, in: Krankentaggeldversicherung: Arbeits- und versicherungsrechtliche Aspekte, Zurigo 2007, pagg.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5.   Nel caso in esame il contratto prevede (doc. 1), in uno con le CGA prodotte da entrambe le parti (si farà capo al documento 2 prodotto dalla convenuta per semplicità), un indennizzo in caso di malattia dell’80% del salario effettivo ( “des effektives Lohnes” ) per 730 giorni su 900 con un termine d’attesa di 14 giorni. L’art. 12.1 CGA prevede un indennizzo a partire da un’inabilità lavorativa del 25% (versamento proporzionale), un obbligo di notifica entro 35 giorni dall’inizio dell’incapacità stante il termine d’attesa contrattualmente fissato (art. 13.1), l’obbligo di dimostrare una perdita di guadagno per l’assicurato (art. 13.2) e l’obbligo di ridurre il danno (art. 13.3/4 e 13.5) a carico del beneficiario delle prestazioni. Le CGA fissano la modalità di calcolo dell’IPG mediante la divisione del salario annuo per 365, rispettivamente un giorno in più per gli anni bisestili. Per le CGA è considerata malattia qualsiasi “danno alla salute fisica, mentale o psichica che non sia la conseguenza di un infortunio e ch richieda un esame o una cura medica oppure provochi un’incapacità al lavoro” . All’art. 11 CGA è regolato il passaggio all’individuale. 6.   Va ancora evidenziato che l'assicurazione d'indennità giornaliere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7.   In concreto è palese la volontà delle parti contrattuali, d’altra parte neppure oggetto di discussione o contestazione di concludere  un'assicurazione contro i danni. Le CGA prevedono infatti che sia assicurato il reddito da lavoro e meglio la “percentuale del salario AVS effettivo indicata nella polizza” inoltre (CGA 13.2) se la persona beneficiaria delle prestazioni non dimostra il danno non viene corrisposta indennità. 8.   In concreto le parti divergono sul sussistere, successivamente al 31 ottobre 2010, di una malattia tale da impedire lo svolgimento di una attività lavorativa e di conseguire un guadagno. Come evocato nelle considerazioni di fatto, e come ampiamente noto alle parti, lo specialista incaricato dall’assicuratore dott. __________ ha condiviso la diagnosi del medico curante dott. __________ ed ha concluso per una possibilità di nuovo inizio di una attività lavorativa a livello teorico in maniera graduale, da concordarsi con il curante. Già si è specificato che il curante ha sostenuto una incapacità lavorativa piena argomentando puntualmente la sua presa di posizione. Il Tribunale cantonale delle Assicurazioni ha fatto redigere una perizia al dott. __________ specialista FMH in psichiatria e psicoterapia cui ha posto precisi quesiti riferiti alla diagnosi, riferiti alla capacità lavorativa della signora AT 1 a partire dal 1° novembre 2010, riferiti alla durata ed all’eventuale percentuale di tale incapacità. Al dottor PE 1 è stato infine chiesto se l’incapacità fosse riferibile solo all’attività svolta presso la __________ o ad ogni attività lavorativa. Al perito è stato quindi chiesto quali eventuali altre attività l’attrice avrebbe potuto svolgere. Dopo un periodo di quasi 9 mesi, comunque preannunciato dal dott. PE 1 a fronte dei suoi numerosi impegni, il perito ha reso il suo rapporto. Il professionista, psichiatra forense noto e competente, ha esposto il suo lavoro in ben 18 pagine di dettagliate descrizioni cui, in questa sede, si farà solo parzialmente riferimento. In effetti le particolari circostanze della vita dell’assicu-rata sono state spesso così drammatiche che, per la loro rievocazione, può comunque essere fatto riferimento al documento XI (perizia ampiamente nota alle parti) per le particolarità ed i dettagli. Come evidenzia il doc. XI la signora AT 1 è nata a __________ 61 anni fa, da genitori __________, quarta in una fratria di cinque. Con i fratelli ha mantenuto poco contatto. Il padre è morto suicida nel 1961 e si sarebbe sparato un colpo d’arma dinanzi alla qui attrice appena undicenne. La madre sarebbe morta per un tumore nel 1971 e, soprattutto dopo la morte del padre, l’avrebbe ritenuta responsabile della morte dello stesso. Dopo 5 anni dalla morte del padre la madre ha collocato la signora AT 1 in un collegio riformatorio nel cantone di __________ gestito da suore, una delle quali l’avrebbe ripetutamente molestata sessualmente, istituto dove sarebbe rimasta rinchiusa 2 anni per una sua rieducazione. Dopo il conseguimento del diploma in economia domestica, ancora minorenne, sarebbe scappata di casa perché la madre avrebbe avuto l’intenzione di ricollocarla in un istituto. AT 1 ha quindi conosciuto un uomo di origine italiana, contrabbandiere, che avrebbe preteso da lei rapporti sessuali in cambio di aiuto e che l’avrebbe coinvolta nei suoi traffici relativi al contrabbando. Spesso percossa dall’uomo (in proposito si faccia riferimento alla sentenza di divorzio del Pretore __________ di __________), soprattutto quando alterato dall’alcol, l’attrice è comunque convolata a nozze con lo stesso siccome incinta di una bimba poi nata il 9 novembre 1971. Dal matrimonio non sono nati altri figli. Il 20 agosto 1973, ultimo atto di un calvario i cui dettagli sono descritti agli atti (e qui si tralasciano), il marito ha cercato di uccidere AT 1 con un’arma da taglio. Ciò ha comportato l’arresto del marito e la sua successiva condanna da parte della Corte delle Assise Criminali competente. Si fa riferimento a pagina 3 della perizia per i dettagli delle condizioni psico-fisiche in cui la signora AT 1 si è trovata in questo periodo si tempo. La signora AT 1 ha cercato, successivamente, di risollevarsi frequentando una scuola di lingue conseguendo il relativo diploma nel 1980 iniziando successivamente attività lavorative presso diversi datori di lavoro, sino agli anni 90 in cui ha cominciato ad avere difficoltà a trovare lavoro. Affettivamente avrebbe avuto diverse relazioni brevi ed una durata una ventina d’anni con un uomo impegnato, rapporto interrotto nel settembre 2009, nell’imminenza dell’annuncio della disdetta del rapporto lavorativo e del successivo licenziamento. All’esame psicologico, allestito con la collaborazione del dott. __________, psicologo, emerge come la signora AT 1 appaia in difficoltà “nel seguire le consegne … per evidenti errori di concentrazione, … eccesso all’astrazione, la rappresentazione è carente … difficoltà di concentrazione tali da disturbare il rispetto delle consegne … produttività limitata … presenza di reazioni egocentriche. Le Imago genitoriali appaiono fortemente disturbate da strutture abbandoniche e di rifiuto … . Le zone complessuali maggiori … mostrano un’affettività poco differenziata che sembra nascere da un conflitto di identità, anche sessuale che finisce con minare l’autostima ed attivare sensi di abbandono e disperazione … (con il carico) … di sensi di colpa che possono sfociare anche in comportamenti auto-aggressivi preoccupanti” (per più specifiche: perizia pagine 6 e 7). Il dott. __________ ha proceduto, nel suo rapporto peritale, ad esaminare compiutamente tutta la documentazione a disposizione, in particolare gli accertamenti d’ordine medico, evidenziando come le valutazioni operate debbono essere fortemente relazionate all’anamnesi della paziente e quindi al suo drammatico vissuto personale. Il perito ne deduce che: " (…) Ci troviamo confrontati con una 60enne in condizioni generali ridotte, il cui assetto psicopatologico appare molto fragile, connotato da una sindrome depressiva con elementi ansiosi suscettibili di intaccare il funzionamento cognitivo, evidenti deficit di concentrazione e di memoria, grande faticabilità, accompagnata da una polipatologia somatica non completamente ininfluente sulla capacità di lavoro (in particolare, a questo proposito, risulta importante la cefalea con emicrania). (…)" (doc. XI, pag. 14) Il quadro che il perito ha allestito trova conforto nelle valutazioni dello psichiatra curante e negli accertamenti dello psicologo dott. __________ ( “all’oscuro di ragguagli anamnestici e di osservazioni cliniche” ). Il suicidio del padre, evento certamente drammatico in se ed amplificato dal fatto che avvenne dinnanzi agli occhi dell’attrice quando la stessa era undicenne, è “tuttora fonte di grave disagio” . Il perito evidenzia ancora come gli anni controversi del matrimonio abbiano comportato una “controversa attività nei locali notturni, all’origine della &lt;offensiva&gt; osservazione del dott. __________” (in merito si faccia capo alla valutazione del dott. __________, citata). Il dott. PE 1 evidenzia ancora come, con il divorzio, per l’impossibilità nel poterla seguire (si veda la sentenza di divorzio agli atti), l’assicurata ha anche perso il rapporto con la figlia (perizia pag. 15). Sempre il perito osserva come nel partire dal 1986 la signora AT 1 presentava, oltre a chiari elementi depressivi anche elementi indicanti “disturbi di probabile origine funzionale o psicosomatica … conseguenza di uno stress prolungato” . D’avviso del perito il legame affettivo ventennale venuto meno nel settembre 2009, ancorché per decisione della signora __________, ha avuto un ruolo, siccome è possibile (certezze su questo aspetto non vene sono) che ”la relativa stabilità relazionale abbia aiutato la peritanda a mantenere un discreto equilibrio psicofisico, consentendole di conservare un’attività professionale regolare” . Nel prosieguo del suo esame il dott. PE 1 si confronta anche, implicitamente, con i rilievi del dott. __________ (pag. 16) evidenziando come: " (…) Per quanto riguarda la mia valutazione, è necessario sottolineare come la biografia della peritanda, nei limiti in cui è stato possibile ricostruirla, contiene una sequela di eventi traumatici più che sufficiente a spiegare la sua attuale psicopatologia; è addirittura lecito affermare che, considerate le difficoltà da lei affrontate, è sorprendente che l'attuale stato di scompenso non sia insorto prima. Con ogni probabilità, la peritanda ha davvero dato fondo a tutte le sue risorse di forza di volontà per mantenere (spinta anche dalla necessità) la propria capacità lavorativa, ma attualmente le risorse emotive, cognitive e anche fisiche si sono esaurite in modo preoccupante e verosimilmente irreversibile. (…)" (doc. XI) E questa appare conclusione chiara e puntuale, che la parte convenuta non ha posto in discussione pur avendone facoltà. Rettamente il dott. PE 1 ribadisce che i suoi riscontri trovano piena conferma nelle dettagliate valutazioni del medico curante e negli esami psicologici del dott. __________. Prima di giungere alle risposte ai quesiti peritali il dott. PE 1 rileva come appaia “a distanza di quasi 50 anni dal trauma originario” difficile fissare in modo preciso la diagnosi e documentarla elencando tutti i criteri diagnostici richiesti dai manuali. Egli ritiene corretto, alla luce delle sue osservazioni e dei suoi personali accertamenti, diagnosticare una “sindrome depressiva ricorrente, episodio attuale grave, con sintomi biologici (insonnia, cefalee, artralgie …), senza sintomi psicotici” (in questo discostandosi in parte dalle diagnosi sia del curante che del medico psichiatra incaricato dall’assicuratore). Per quanto attiene alla capacità lavorativa il perito ritiene che la signora AT 1 “era inabile al lavoro, in misura completa già all’1.11.2010 e lo è tuttora. L’inabilità lavorativa è praticamente completa … Nell’ipotesi più ottimistica che, con le cure del caso, la situazione possa lentamente migliorare, ritengo che, perlomeno nel futuro prevedibile, la capacità lavorativa della peritanda non supererà il 10%” . Secondo il perito tale incapacità non si riferisce esclusivamente all’attività svolta presso __________ ma per ogni possibilità lavorativa siccome "le condizioni psichiche e fisiche della peritanda sono tali da gettare serissime ipoteche non soltanto sulla capacità lavorativa ma anche sulla sua qualità di vita in generale. Ricordo in proposito che l'esame psicologico ha evidenziato la possibilità di agiti autolesivi, ben compatibili con la debolezza dello slancio vitale rilevata clinicamente" . 9.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Se vi sono dei rapporti medici contraddittori il giudice non può evadere la procedura senza valutare l'intero materiale ed indicare i motivi per cui egli si fonda su un rapporto piuttosto che su un altro (STFA del 25 febbraio 2003 nelle cause P.G., U 329/01 ed S., U 330/01). Va ulteriormente rilevato che con sentenza 9C_965/2008 del 23 dicembre 2009, il Tribunale federale, in una caso dove l’assicuratore ha interpellato due medici di fiducia per stabilire la capacità lavorativa del ricorrente, ha confermato la sua giurisprudenza secondo la quale occorre tenere conto della differenza esistente, ai fini probatori, tra mandato di cura e mandato peritale (cfr. anche sentenza 9C_114/2007 del 20 luglio 2007 consid. 3.2.3 e I 701/05 del 5 febbraio 2007 consid. 2) e che occorre considerare che per il rapporto di fiducia esistente con il paziente i rapporti dei medici curanti, anche se specialisti, vanno di principio valutati con le dovute cautele (cfr. anche DTF 125 V 351 consid. 3b/cc pag. 353; cfr. pure sentenze I 655/05 del 20 marzo 2006 consid. 5.4 e I 814/03 del 5 aprile 2004 consid. 2.4.2 con riferimenti). Il solo fatto che uno o più medici curanti esprimano un’opinione contraddittoria non è sufficiente a rimettere in discussione una perizia ordinata dal giudice o dall’amministrazione e a imporre nuovi accertamenti (sentenza 9C_1070/2008 del 20 agosto 2009 consid. 7.4). 10.   In questa sede, anche alla luce dell’assenza di ogni e qualsiasi contestazione, osservazione o rilievo da parte dell’assicuratore convenuto circa la perizia del dott. __________, questa Corte osserva come il lavoro del perito sia frutto dell’analisi approfondita di tutta la copiosa documentazione medica acquisita agli atti, del contatto personale con la signora AT 1, e del lavoro allestito dallo psicologo dott. __________. I riscontri e le valutazioni del perito sono stati descritti minuziosamente e puntualmente nel  referto, senza che tale descrizione trovi screzio alcuno negli atti di causa, anzi, tutto quanto il perito ha indicato come di rilievo per le sue valutazione ha preciso fondamento negli atti. Le argomentazioni del perito sono espresse in maniera completa, adeguata, coerente e conseguente. Egli ha posto la sua particolare attenzione agli elementi della anamnesi personale dell’assicurata per accertare lo status attuale, ancorché dagli stessi ad oggi siano trascorsi anni. Elementi molto significativi e devastanti sono descritti in dettaglio – laddove possibile alla luce della reazione della signora AT 1 a volerli rievocare – e descritto è il loro sostanziale peso per la situazione patologica. Con maestria rara e con competenza inusuale che va non solo riconosciuta al dott. PE 1 ma anche lodata, il professionista ha descritto perché la signora AT 1 sia riuscita, negli anni, a convivere – con uno sforzo al di fuori del comune – con la sua malattia. La “rottura degli argini” (si permetta al redattore questa impropria espressione) ha trovato cumulative cause nella perdita per la signora AT 1 del rapporto affettivo derivante dalla relazione ventennale con un uomo e dal conseguente annuncio della perdita prossima del rapporto di lavoro. Il perito ha analizzato questi aspetti nelle loro non semplici sfaccettature, si ripete, con grande competenza ed il suo lavoro ha trovato pieno conforto nell’esame svolto dallo psicologo incaricato e nelle valutazioni del medico curante. Nel suo referto il dott. PE 1 ha implicitamente preso posizione sulla valutazione del dott. __________, significandone le lacune rilevate. A questo lavoro, per la sua completezza, per le risposte convincenti, adeguate ed argomentate, si deve fare pieno affidamento. Le conclusioni cui è giunto il dott. PE 1 vengono quindi pienamente condivise. 11.   Alla luce delle considerazioni che precedono questo Tribunale si allinea integralmente alle valutazioni peritali, disinteressate, scevre da contraddizioni, complete, esaustive, specifiche e dettagliate. Sulla scorta delle stesse la petizione va pienamente accolta e l’assicuratore condannato al versamento di prestazioni assicurative come da contratto sino alla fine del periodo indennizzabile, ossia – con un montante di CHF 159,863 giornaliero - per ulteriori (rimanenti) 387 giorni (ossia sino al 22 novembre 2011). In altri termini CV 1 va qui condannata al pagamento a AT 1 dell’importo di CHF 59'545.00 (l’importo di CHF 159,863 x 387 = 59'544.981 arrotondato alla cifra tonda superiore più prossima). L’accoglimento pieno e totale della domanda principale della signora AT 1 impone il riconoscimento alla stessa di congrue ripetibili, indennità che deve coprire le spese di patrocinio e gli onorari. In questa sede le ripetibili, il cui riconoscimento rende priva d’oggetto la domanda di assistenza giudiziaria formulata il 17 marzo 2011, possono essere fissate in CHF 3'700.00 (IVA, se dovuta, compresa). Trattandosi di una causa di carattere pecuniario, sono dati gli estremi per interporre un eventuale ricorso in materia civile, nei termini e nei modi descritti nel dispositivo, al Tribunale Federale sulla base del valore litigioso (art. 74 cpv. 1 lett. b LTF). Secondo l'art. 49 cpv. 2 LSA, i tribunali svizzeri devono trasmettere gratuitamente all'autorità di sorveglianza FINMA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