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36.2010.9 vom 13. April 2011</w:t>
      </w:r>
    </w:p>
    <w:p>
      <w:r>
        <w:t>TI Tribunale d'appello, 2011-04-13, IT</w:t>
      </w:r>
    </w:p>
    <w:p>
      <w:r>
        <w:rPr>
          <w:b/>
        </w:rPr>
        <w:t xml:space="preserve">Quelle: </w:t>
      </w:r>
      <w:r>
        <w:t>https://mcp.opencaselaw.ch/entscheid/ti_gerichte_36.2010.9</w:t>
      </w:r>
    </w:p>
    <w:p>
      <w:r>
        <w:t>FR: TI_GERICHTE 36.2010.9 du 13 avril 2011</w:t>
      </w:r>
    </w:p>
    <w:p>
      <w:r>
        <w:t>IT: TI_GERICHTE 36.2010.9 del 13 aprile 2011</w:t>
      </w:r>
    </w:p>
    <w:p>
      <w:pPr>
        <w:pStyle w:val="Heading2"/>
      </w:pPr>
      <w:r>
        <w:t>Erwägungen</w:t>
      </w:r>
    </w:p>
    <w:p>
      <w:r>
        <w:rPr>
          <w:b/>
        </w:rPr>
        <w:t>E. 21</w:t>
      </w:r>
    </w:p>
    <w:p>
      <w:r>
        <w:t>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menzionata è applicabile alla fattispecie in esame pure da un punto di vista personale e materiale. Di cittadinanza italiana, il ricorrente è infatti un lavoratore soggetto alla legislazione di uno o più Stati membri,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w:t>
      </w:r>
    </w:p>
    <w:p>
      <w:r>
        <w:t>Con sentenza 9C_1042/2009 del 7 settembre 2010 pubblicata in DTF 136 V 295, il TF ha accolto il ricorso di un lavoratore frontaliere che affermava di non essere stato informato personalmente della procedura in sanatoria avviata dallallora UAM che gli avrebbe permesso di esercitare nuovamente il diritto dopzione entro il 30 settembre 2008. Detto termine è stato accordato dallallora Ufficio dellassicurazione malattia (UAM), previa indicazione delle Autorità federali, per sanare la situazione venutasi a creare in seguito al mancato esercizio del diritto di opzione da parte di migliaia di frontalieri residenti in Italia. Nella citata sentenza il TF ha rammentato che l'art. 13 n. 1 del regolamento 1408/71 enuncia il principio dell'unicità della legislazione applicabile in funzione delle regole previste dagli art. 13 n. 2-17bis,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(art. 13 n. 2 lett. a del regolamento n. 1408/71; DTF 135 V 339 consid. 4.3.1 pag. 343; 133 V 137 consid. 6.1 pag. 143 con riferimenti).</w:t>
      </w:r>
    </w:p>
    <w:p>
      <w:r>
        <w:rPr>
          <w:b/>
        </w:rPr>
        <w:t>E. 25</w:t>
      </w:r>
    </w:p>
    <w:p>
      <w:r>
        <w:t>septembre 2008, aux alentours de 18h00", elle ne saurait constituer un témoignage indépendant (ATF 109 Ib 343 consid. 2b p. 345). Ce témoignage provient en effet de la personne même qui aurait procédé à la remise au guichet postal et ne peut donc pas être pris en considération. Contrairement à ce que prétend le mandataire du recourant sur ce point, il ne s'agit nullement d'apprécier la bonne foi des personnes en cause, mais du respect des principes touchant au délai de recours. Or, en ce domaine, on ne peut se contenter d'une vraisemblance, mais l'on doit exiger une preuve stricte ( ATF 119 V 7 consid. 3c/bb p. 10).” 2.10.   In concreto il signor RI 1 ha ricevuto la decisione soggetta ad impugnativa mediante reclamo con invio per raccomandata senza avviso di ricevuta del 1° ottobre 2009. Intimata il giorno stesso della sua redazione la decisione è stata recapitata al qui ricorrente, come accertato in corso di istruttoria da parte dell’amministrazione, il 5 ottobre 2009. L’accertamento non è stato contestato da parte di RI 1. Anche se l’amministrazione cantonale non ha rispettato l’obbligo di intimare la decisione, come imposto dalle norme ricordate in precedenza, mediante un invio raccomandato accompagnato da un modulo di avviso di ritorno (il cui scopo é quello di accertare e permettere di comprovare l’avvenuta intimazione dell’invio ad una precisa data) l’assicurato non può trarne nessun vantaggio concreto visto che l’amministrazione è comunque stata in grado di fornire la precisa prova dell’avvenuta ricezione e di determinarne con precisione la data. La prova dell’avvenuta intimazione della decisione spettava all’amministrazione e la dimostrazione che la decisione é entrata nella sfera di possesso del ricorrente il 5 ottobre 2009 è contenuta nel doc. XXIV/2. Il fatto che agli atti non sia quindi prodotto un avviso di ricevuta di ritorno non è, nella fattispecie in esame, di aiuto per il ricorrente. Va ribadito che la prova dell’intimazione personale ad RI 1 con la determinazione della data precisa, è agli atti. Ne consegue che, dalla data di intimazione poi accertata dall’amministrazione nel 5 ottobre 2009, decorreva il termine per l’impugnativa. Alla luce di ciò la formulazione del reclamo il successivo 23 novembre 2009, e quindi a quasi 50 giorni dall’intimazione, rende palesemente tardiva l’impugnativa. Ne consegue che l’amministrazione ha correttamente dichiarato irricevibile, per tardività, il reclamo. La decisione impugnata é di conseguenza corretta ed il ricorso presentato a questo Tribunale va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