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36.2010.83 vom 15. September 2010</w:t>
      </w:r>
    </w:p>
    <w:p>
      <w:r>
        <w:t>TI Tribunale d'appello, 2010-09-15, IT</w:t>
      </w:r>
    </w:p>
    <w:p>
      <w:r>
        <w:rPr>
          <w:b/>
        </w:rPr>
        <w:t xml:space="preserve">Quelle: </w:t>
      </w:r>
      <w:r>
        <w:t>https://mcp.opencaselaw.ch/entscheid/ti_gerichte_36.2010.83</w:t>
      </w:r>
    </w:p>
    <w:p>
      <w:r>
        <w:t>FR: TI_GERICHTE 36.2010.83 du 15 septembre 2010</w:t>
      </w:r>
    </w:p>
    <w:p>
      <w:r>
        <w:t>IT: TI_GERICHTE 36.2010.83 del 15 settembre 2010</w:t>
      </w:r>
    </w:p>
    <w:p>
      <w:pPr>
        <w:pStyle w:val="Heading2"/>
      </w:pPr>
      <w:r>
        <w:t>Regeste</w:t>
      </w:r>
    </w:p>
    <w:p>
      <w:r>
        <w:t>Richiesta di assunzione dei costi di una cura all'estero respinta poiché non sono dati i presupposti per il rimborso ai sensi dell'Accordo bilaterale sulla libera circolazione delle persone (e della LAmal)</w:t>
      </w:r>
    </w:p>
    <w:p>
      <w:pPr>
        <w:pStyle w:val="Heading2"/>
      </w:pPr>
      <w:r>
        <w:t>Erwägungen</w:t>
      </w:r>
    </w:p>
    <w:p>
      <w:r>
        <w:rPr>
          <w:b/>
        </w:rPr>
        <w:t>E. 1</w:t>
      </w:r>
    </w:p>
    <w:p>
      <w:r>
        <w:t>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3.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L’allora TFA (dal 1° gennaio 2007: TF), in una sentenza del 7 marzo 2002, a proposito di una lite avente come oggetto l'assunzione di cure prestate all'estero, senza che sia data l'ipotesi di un caso d'urgenza, nella misura in cui le medesime non possono essere prodigate in Svizzera (cfr. anche RDAT I-2001, n. 66 pag. 271 segg.), ha rammentato che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sentenza dell'8 ottobre 2002, inc. K 44/00). Il Tribunale federale delle assicurazioni, da parte sua, effettuata l'esegesi della norma legislativa in oggetto, ha osservato, in virtù del principio della territorialità che caratterizza il sistema stesso dell'assicurazione malattia,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L’allora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(sentenza dell'8 ottobre 2002, K 44/00). 4.   Secondo l'art. 32 cpv. 1 LAMal, le prestazioni di cui agli articoli 25-31 devono essere efficaci, appropriate ed economiche. L'efficacia deve essere comprovata secondo metodi scientifici. L'efficacia, l'appropriatezza e l'economicità dei trattamenti medici forniti in Svizzera sono presunte (DTF 131 V 271 consid. 3.2 pag. 275 con riferimenti). Un'eccezione al principio della territorialità secondo l'art. 36 cpv. 1 OAMal in relazione con l'art. 34 cpv. 2 LAMal è unicamente possibile, dal profilo della LAMal, se non esiste alcuna possibilità di cura della malattia in Svizzera oppure se è stabilito, in un caso particolare, che una misura terapeutica in Svizzera, per rapporto a un'alternativa di cura all’estero, comporta per il paziente dei rischi importanti e considerevolmente più elevati (DTF 131 V 274 consid. 3.2 pag. 276; RAMI 2003 no. KV 253 pag. 231 consid. 2 [K 102/02]) e che pertanto, tenuto conto del risultato che si intende raggiungere con la cura, un trattamento responsabile ed esigibile da un punto di vista medico non sia concretamente garantito in Svizzera (sentenza del Tribunale federale delle assicurazioni K 39/01 del 14 ottobre 2002, consid. 1.3; cfr. pure RAMI 2003 no. KV 253 pag. 231 consid. 2). Soltanto gravi lacune nell'offerta di cura ("Versorgungslücke")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Per contro, se il trattamento adeguato è realizzato correntemente in Svizzera e corrisponde a dei protocolli largamente riconosciuti, l'assicurato non ha diritto al rimborso dei costi per un trattamento eseguito all'estero (DTF 131 V 271 consid. 3.2 pag. 275). Vantaggi minimi, difficilmente valutabili o addirittura contestati, non possono configurare un valido motivo per porre l'intervento esterno a carico dell'assicurazione di base (DTF 127 V 138 consid.</w:t>
      </w:r>
    </w:p>
    <w:p>
      <w:r>
        <w:rPr>
          <w:b/>
        </w:rPr>
        <w:t>E. 5</w:t>
      </w:r>
    </w:p>
    <w:p>
      <w:r>
        <w:t>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pag. 4 consid. 2d e dottrina citata). Per cui, ritenuto che l’insorgente non ha ottenuto l’autorizzazione per recarsi all’estero per sottoporsi all’intervento prospettato in __________, rilevato che la medesima operazione poteva essere effettuata in Svizzera ed in particolare che dagli atti non emerge che, tenuto conto del risultato che si intendeva raggiungere, un trattamento responsabile ed esigibile da un punto di vista medico non fosse concretamente garantito in Svizzera (sentenza del Tribunale federale delle assicurazioni K 39/01 del 14 ottobre 2002, consid. 1.3; cfr. pure RAMI 2003 no. KV 253 pag. 231 consid. 2) e che neppure risulta quel valore aggiunto diagnostico e terapeutico che avrebbe potuto giustificare l’assunzione delle spese da parte della cassa malati, i costi per il trattamento effettuato a __________ (__________) il 14 settembre 2009, l’8 ottobre 2009 e dal 12 al 14 ottobre 2009 non possono essere messi a carico dell’assicuratore malattie convenuto, indipendentemente dalla questione dei costi di un tale trattamento in Svizzera. L’interessata non può neppure appellarsi alla propria buona fede affermando che i medici ticinesi non le avrebbero indicato un luogo dove poter effettuare la citata operazione giacché l’assicuratore l’ha avvisata prima dell’intervento avvenuto a __________ del rifiuto di rimborsare ogni prestazione (cfr. doc. 12 e 15) e l’insorgente, cosciente di questo rifiuto, ha deciso lo stesso di sottoporsi all’operazione (cfr. doc. 13, e-mail del 28 settembre 2009 della ricorrente all’assicuratore e doc. 14, lettera raccomandata dell’insorgente alla Cassa malati :”(…) Da es sich um meine Gesundheit handelt, werde ich in __________ operiert, das ist mein Wunsch und Recht ”). Infine, abbondanzialmente, va evidenziato che siccome l’interessata è stata ricoverata presso una struttura privata estera e non si è recata presso un nosocomio pubblico, anche se i presupposti per un rimborso fossero dati, andrebbe comunque ancora accertato presso le competenti autorità __________ cosa sarebbe successo, in un caso simile al presente, se la medesima fattispecie fosse capitata ad una persona assicurata al sistema sanitario __________. In particolare si sarebbe dovuto accertare, con l’ausilio dell’istituzione competente __________ in ambito di assicurazione contro le malattie, se in un caso di ricovero, come quello in esame, in un istituto privato, ci sarebbe stato un rimborso e, in caso di risposta positiva, in che misura il rimborso sarebbe stato effettuato (cfr. le informazioni dell’UFAS ai Cantoni). L’importo indicato dall’autorità __________ sarebbe poi stato quello che l’assicuratore avrebbe dovuto rimborsare (cfr. sentenza del 17 novembre 2008, inc. 36.2008.71). In altre parole, se fossero date le condizioni per il rimborso della cura all’estero, ciò che nel caso di specie non si verifica, l’assicuratore avrebbe dovuto accertare presso l’autorità estera la tariffazione delle prestazioni di ricovero fruite secondo i Regolamenti Comunitari, in particolare, come succede di regola in __________ (cfr. sentenza del 17 novembre 2008, inc. 36.2008.71), tramite i DRG, che prevedono che ad ogni ricovero corrisponda un costo, comprensivo di esami pre e post degenza, prestazioni medico professionali, intervento chirurgico, noleggio strutture, ecc. Del resto, l’art. 34 del Regolamento Comunitario 574/72 dispone che il rimborso per prestazioni sanitarie, fruite in un paese diverso da quello di residenza, avvenga sulla base delle tariffe vigenti nel paese dove sono erogate le prestazioni. Questo TCA ha già stabilito che l’utilizzazione dei DRG applicabili agli ospedali pubblici e alle cliniche convenzionate è corretta, non potendo essere utilizzato, nell’ambito dell’applicazione dell’ALC, il sistema tariffario di tipo privatistico. Il rimborso va infatti effettuato alla tariffa dell’assicurazione sociale valida per l’istituto del luogo di soggiorno (cfr. sentenza del 22 gennaio 2007, inc. 36.2006.164 e sentenza del 17 novembre 2008, inc. 36.2008.71 ). In concreto, non essendo adempiute le condizioni per poter chiedere il rimborso delle prestazioni usufruite all’estero, i citati accertamenti non devono essere eseguiti. Va ancora sottolineato che questo Tribunale è cosciente delle sofferenze cui è andata incontro l’assicurata, ma non può scostarsi dalle norme volute dal legislatore per poter mettere a carico dell’assicuratore i costi di interventi avvenuti all’estero. 10.   Infine l’insorgente chiede di essere ascoltata personalmente al fine di meglio illustrare il caso in tutti i suoi dettagli e domanda la fissazione di un’udienza (doc. I).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(l’assicurata ha chiesto unicamente di poter essere ascoltata e di fissare un’udienza), questo TCA rinuncia ad una sua audizione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rinuncia pure all’assunzione di ulteriori prove giacché gli atti dell’incarto sono sufficienti per decidere nel merito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