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36.2010.66 vom 19. Juli 2010</w:t>
      </w:r>
    </w:p>
    <w:p>
      <w:r>
        <w:t>TI Tribunale d'appello, 2010-07-19, IT</w:t>
      </w:r>
    </w:p>
    <w:p>
      <w:r>
        <w:rPr>
          <w:b/>
        </w:rPr>
        <w:t xml:space="preserve">Quelle: </w:t>
      </w:r>
      <w:r>
        <w:t>https://mcp.opencaselaw.ch/entscheid/ti_gerichte_36.2010.66</w:t>
      </w:r>
    </w:p>
    <w:p>
      <w:r>
        <w:t>FR: TI_GERICHTE 36.2010.66 du 19 juillet 2010</w:t>
      </w:r>
    </w:p>
    <w:p>
      <w:r>
        <w:t>IT: TI_GERICHTE 36.2010.66 del 19 luglio 2010</w:t>
      </w:r>
    </w:p>
    <w:p>
      <w:pPr>
        <w:pStyle w:val="Heading2"/>
      </w:pPr>
      <w:r>
        <w:t>Regeste</w:t>
      </w:r>
    </w:p>
    <w:p>
      <w:r>
        <w:t>Domanda sussidio CM 2010. Diminuzione reddito. Calcolo nuovo reddito. Conversione. Superamento limiti</w:t>
      </w:r>
    </w:p>
    <w:p>
      <w:pPr>
        <w:pStyle w:val="Heading2"/>
      </w:pPr>
      <w:r>
        <w:t>Erwägungen</w:t>
      </w:r>
    </w:p>
    <w:p>
      <w:r>
        <w:rPr>
          <w:b/>
        </w:rPr>
        <w:t>E. 1</w:t>
      </w:r>
    </w:p>
    <w:p>
      <w:r>
        <w:t>La presente vertenza non pone questioni giuridiche di principio e non è di rilevante importanza (ad esempio per la difficoltà dell’istruttoria o della valutazione delle prove). Il TCA può dunque decidere nella composizione di un Giudice unico ai sensi dell'articolo 49 cpv.</w:t>
      </w:r>
    </w:p>
    <w:p>
      <w:r>
        <w:rPr>
          <w:b/>
        </w:rPr>
        <w:t>E. 2</w:t>
      </w:r>
    </w:p>
    <w:p>
      <w:r>
        <w:t>Tali valori sono riportati anche sui periodi fiscali successivi. L’ammontare è ridotto annualmente di 10 000.– franchi.”</w:t>
      </w:r>
    </w:p>
    <w:p>
      <w:r>
        <w:rPr>
          <w:b/>
        </w:rPr>
        <w:t>E. 2.2</w:t>
      </w:r>
    </w:p>
    <w:p>
      <w:r>
        <w:t>(…) Va rammentato che, quando sia accertato un reddito inferiore a quello del periodo di riferimento rispettivamente quando l’amministrazione debba determinare un reddito, essa deve procedere alla sua esatta fissazione e quindi raffrontarlo con i parametri fissati dal Consiglio di Stato per la determinazione del diritto al sussidio, per ciò fare è necessario procedere alla commutazione del nuovo reddito accertato in reddito imponibile mediante l’utilizzo di tabelle appositamente allestite. Infatti il reddito lordo accertato va obbligatoriamente (art. 52 cpv. 2 RegLCAMal) convertito in reddito imponibile mediante apposite tabelle come rammenta l'art. 72 del medesimo regolamento. Per l'accertamento autonomo del reddito l'Ufficio dell'Assicurazione Malattia deve partire dal reddito lordo conseguito dall’assicurato nel corso del periodo più prossimo al periodo per il quale il sussidio è richiesto. Infatti il reddito lordo cui ci si deve riferire è possibilmente quello più recente e percepito nel corso dell'anno per il quale il sussidio viene richiesto. In questo senso anche il Messaggio 3 gennaio 1996 del Consiglio di Stato al Gran Consiglio concernente l'adozione della nuova LCAMal (M 4474 DOS) a pag. 53 secondo cui "                                                 Trattandosi di una sovvenzione di carattere eminentemente sociale, il sussidio nell'assicurazione contro le malattie, pur basandosi sui dati fiscali dell'istante, deve comunque tenere conto della situazione economica più vicina al momento in cui l'assicurato richiede il sussidio soggettivo." Nell'ottica di tale volontà del legislatore i dati da considerare per la verifica del reddito sono, se possibile, i dati dell'anno per il quale il sussidio è chiesto, che vanno – come indicato in precedenza in caso di diminuzione importante del reddito secondo la lettera m dell'art. 67 Reg. LCAMal - posti a raffronto con i dati ritenuti nella tassazione di riferimento dove necessario. (…)</w:t>
      </w:r>
    </w:p>
    <w:p>
      <w:r>
        <w:rPr>
          <w:b/>
        </w:rPr>
        <w:t>E. 2.5</w:t>
      </w:r>
    </w:p>
    <w:p>
      <w:r>
        <w:t>Va qui subito rilevato come la delega del legislativo al Consiglio di Stato sia decisamente ampia e, soprattutto, priva di contorni specificatamente indicati nella legge stessa. La norma in questione prevede infatti unicamente e genericamente l’accertamento autonomo del reddito al di fuori della decisione di tassazione di riferimento, in “altri casi particolari". (…).". Come rammentato nella sentenza 26 gennaio 2004 (36.2003.116), quando sia accertata l’esistenza di uno dei motivi di cui all’art. 67 vReg. LCAMal (= art. 31 nReg. LCAMal), in particolare ciò avviene più frequentemente in caso di accertamento di un nuovo reddito inferiore a quello del periodo di riferimento, l’UAM deve procedere alla esatta fissazione del nuovo reddito conseguito, e deve trattarsi del reddito lordo, che va poi raffrontato con i parametri fissati dal Consiglio di Stato per la determinazione del diritto al sussidio. Per ciò fare è necessario procedere alla commutazione del nuovo reddito lordo accertato in reddito imponibile ipotetico mediante l’utilizzo di tabelle appositamente allestite. Infatti il reddito lordo accertato va obbligatoriamente convertito in reddito imponibile ipotetico mediante apposite tabelle allestite dall’amministrazione competente in materia di sussidi ed in materia fiscale. Le tabelle di conversione considerano le normali deduzioni dal reddito lordo per la fissazione del reddito (ipotetico) imponibile, pur non potendo essere, per la loro stessa natura, attagliati al caso concreto in cui vengono applicate. Per quanto attiene alle possibili deduzioni dal reddito lordo accertato, questo Tribunale ha sviluppato una prassi piuttosto restrittiva, le uniche deduzioni ammesse essendo quelle relative agli alimenti ed agli interessi su debiti ipotecari. In particolare nelle sentenze del 26 gennaio 2004, inc. 36.2003.99/112 e inc. 36.2003.116 è stata negata la possibilità di dedurre spese di doppia economia domestica e di trasporto, anche se normalmente riconosciute a livello fiscale. Nella sentenza di cui all’inc. 36.2004.33 il TCA ha ammesso, come d’altra parte aveva fatto l’amministrazione, la deduzione per gli alimenti che l’assicurato era costretto a versare negando altre deduzioni. Per uno studente che effettuava parallelamente all’esercizio di attività remunerata un dottorato di ricerca presso un’università svizzera, non è stato ritenuto il rimborso del debito per i prestiti di studio contratto con il Cantone e neppure le spese per la residenza secondaria e quelle di trasporto. Il concetto è stato ribadito ulteriormente nella sentenza del 3 settembre 2004 (inc. 36.2004.93) in cui era ricorrente un divorziato al quale l’amministrazione aveva calcolato il reddito lordo per la successiva conversione. Con sentenza del 19 ottobre 2004 (inc. 36.2004.129) questo Tribunale non ha ritenuto invece possibile la deduzione dell’affitto e del premio dell’assicurazione obbligatoria contro le malattie ed ha confermato la sua prassi di non ammettere deduzioni per spese di trasporto e di doppia economia domestica. La prassi è stata ulteriormente ribadita nelle sentenze del 14 settembre 2005 (inc. 36.2005.70), del 21 settembre 2005 (inc. 36.2005.94-95), del 27 settembre 2005 (inc. 36.2005.99), del 24 ottobre 2005 (inc. 36.2005.117) e nella sentenza a composizione completa del Tribunale del 30 novembre 2005 (inc. 36.2005.66-67).</w:t>
      </w:r>
    </w:p>
    <w:p>
      <w:r>
        <w:rPr>
          <w:b/>
        </w:rPr>
        <w:t>E. 5</w:t>
      </w:r>
    </w:p>
    <w:p>
      <w:r>
        <w:t>Il TCA ha emanato diverse sentenze sull'accertamento autonomo del reddito (v.: sentenza del 27 novembre 2003, inc. 36.2003.84; sentenze del 26 gennaio 2004, inc. 36.2003.99/112 e inc. 36.2003.116; sentenze del 24 giugno 2005, inc. 36.2004.132; sentenza del 3 settembre 2004, inc. 36.2004.92; sentenza del 15 febbraio 2006, inc. 36.2006.7) e si è così espresso: "</w:t>
      </w:r>
    </w:p>
    <w:p>
      <w:r>
        <w:rPr>
          <w:b/>
        </w:rPr>
        <w:t>E. 6</w:t>
      </w:r>
    </w:p>
    <w:p>
      <w:r>
        <w:t>Per quanto attiene al tema del computo del valore locativo – che viene in concreto computato dalla CCC AVS per la determinazione del reddito al fine di verificare il superamento o meno dei parametri per la concessione del sussidio, questo TCA, così si è espresso in alcune sue sentenze: " …nella sentenza 13 giugno 2006 in re Q. (36.2006.52) è stato evidenziato s ul tema del valore locativo e più generalmente dei redditi computabili, nella sentenza 13 giugno 2006 in re Q. (36.2006.52) è stato evidenziato che per il calcolo del reddito autonomamente eseguito da parte dell'amministrazione il RLCAMal, agli art. 69 e 71, fa obbligo all'assicurato di fornire tutte le informazioni. Di questo reddito fa parte "ogni &lt;altro&gt; reddito (come recita l'art. 69), anche il reddito in natura o d'altra fonte" (sentenza 36.2006.52 pag. 6). Il tema pone la questione del valore locativo e della sua considerazione nella determinazione del reddito calcolato autonomamente dall'amministrazione che è stato abbozzato nella sentenza 24 ottobre 2005, in re S., 36.2005.117, senza dover essere risolta in quella sede. Nella sentenza 36.2006.52 in re Q. il TCA aveva considerato facente parte dei redditi di un giovane convivente con i genitori anche il valore di locazione della stanza messa a sua disposizione dai genitori. Il valore locativo di un immobile, come rammentato in una sentenza della Camera di diritto tributario del Tribunale di Appello del 21 dicembre 2006 (inc. 80.06.173 in re S.), secondo l’art. 20 cpv. 1 lett. b LT (come pure in virtù dell’art. 21 cpv. 1 lett. b LIFD a livello federale), è imponibile quale reddito della sostanza immobiliare. Oggetto dell’imposizione è “il valore locativo di immobili o di parti di essi che il contribuente ha a disposizione per uso proprio in forza del suo diritto di proprietà o di un usufrutto ottenuto a titolo gratuito. (…)” L’art. 21 cpv. 2 LIFD precisa che il valore locativo viene stabilito tenendo conto delle condizioni locali usuali e dell’utilizzazione effettiva dell’abitazione al domicilio del contribuente. Come rammenta la sentenza cantonale citata: “                                                Il riferimento alle condizioni locali usuali sta a significare che determinante per l’IFD rimane il valore di mercato reperibile, che deve essere stabilito in via comparativa tenendo conto anche delle vecchie abitazioni e quindi non necessariamente il canone di locazione massimo conseguibile ( Agner/Jung/Steinmann , Kommentar zum Gesetz über die direkte Bundessteuer, p. 92; v. anche DTF 124 I 152 = ASA 68 p. 773 = StE 1998 A 23.1 n. 1; DTF 123 II 15 = ASA 66 p. 563 = RF 52/1998 p. 190 = StE 1997 A 21.11 n. 41). Il Tribunale federale ha stabilito che l’Amministrazione federale delle contribuzioni ha il dovere di intervenire nella sua qualità di autorità di sorveglianza in materia di imposta federale diretta quando in un cantone i valori locativi scendono al di sotto della soglia del 70% del valore di mercato (Tribunale federale, 13 febbraio 1998, in RF 1998 p. 655 = ASA 67 p. 709). Il riferimento all’utilizzazione effettiva, dal canto suo, va inteso unicamente quale limitazione spaziale ma non temporale dell’uso dell’immobile da parte del proprietario. Con ciò il Legislatore federale ha voluto venire incontro a determinate situazioni, segnatamente a quelle di coniugi o vedovi, che, una volta allevati i figli, si ritrovano a vivere in abitazioni divenute troppo grandi, perché rispondenti alle esigenze di una famiglia numerosa. La prova della sottoutilizzazione dell’abitazione spetta al contribuente. Il Legislatore con il riferimento all’utilizzazione effettiva dell’abitazione non ha invece minimamente voluto venire incontro a chi, per ragioni proprie, occupa la propria abitazione, in particolare quella secondaria, solo durante determinati periodi dell’anno ( Agner/Jung/Steinmann , op. cit., p. 93). (…)". La legge federale sull’armonizzazione delle imposte dirette dei cantoni e dei comuni obbliga i cantoni ad assoggettare all’imposta sul reddito il valore locativo (in virtù del combinati disposti dell’art. 2 cpv. 1 lett. a e dell’art. 7 cpv. 1 LAID), pur non contenendo disposizioni relative alle modalità di accertamento del valore locativo e lasciando con ciò una certa qual latitudine ai Cantoni. In relazione alla questione a sapere in che misura il valore locativo possa essere inferiore rispetto al valore di mercato, l’art. 7 cpv. 1 LAID non pone alcun altro limite se non quello derivante dagli articoli</w:t>
      </w:r>
    </w:p>
    <w:p>
      <w:r>
        <w:rPr>
          <w:b/>
        </w:rPr>
        <w:t>E. 8</w:t>
      </w:r>
    </w:p>
    <w:p>
      <w:r>
        <w:t>cpv. 1 e 127 cpv. 2 Cost. fed. (DTF 125 I 65 consid. 2b p. 67; DTF 124 I 145 consid. 3 p. 152 ss.). Come rammenta ancora la sentenza 21 dicembre 2006 della CDT: “                                                L’Alta Corte ha stabilito che il valore locativo può essere inferiore al valore di mercato (DTF 124 I 145, consid. 4d p. 156), ma che tuttavia in ogni caso il 60% del valore di mercato rappresenta il limite inferiore che è ancora conforme al principio costituzionale dell’uguaglianza (art. 8 cpv. 1 Cost. fed.). In seguito (DTF 125 I 65) ha ammesso che le disposizioni della legge tributaria turgoviese, secondo cui dal valore locativo – accertato caso per caso – deve essere effettuata una deduzione del 40%, possono essere applicate in modo conforme alla Costituzione e comunque non conducono necessariamente a risultati incostituzionali (nello stesso senso, si è pronunciata anche in relazione ad analoghe normative dei Cantoni Soletta [n. 2P.36/1999 del 3 novembre 2000] e Zurigo [2P.311/2001 del 5 aprile 2002]). (…)”. Nel nostro diritto cantonale il capoverso 2 dell’art. 20 LT prevede che il valore locativo, tenuto conto della promozione dell’accesso alla proprietà e della previdenza personale, sia stabilito al 60-70 per cento del valore di mercato delle pigioni. Per il suo calcolo è possibile considerare in modo adeguato il valore della stima ufficiale. La norma codifica la prassi degli Uffici di Tassazione come ricorda il messaggio del Consiglio di Stato 5016 del 27 giugno 2000 relativo alla modifica della LT e del decreto legislativo concernente la concessione di ammortamenti accelerati per nuovi investimenti (paragrafo B.I.8.). Come rammenta ancora la sentenza cantonale citata: “                                                il legislatore ticinese ha codificato il principio secondo cui il valore locativo deve essere inferiore al valore di mercato (purché resti però fra il 60% e il 70%). Nel contempo, ha riaffermato che il calcolo deve avvenire applicando delle percentuali di conversione – differenziate a seconda della vetustà della stima – al valore di stima ufficiale. A tal fine, la circolare n. 15 del gennaio 2006 della Divisione delle contribuzioni stabilisce che il valore locativo di abitazioni unifamiliari e plurifamiliari, di appartamenti in condominio e di case a schiera verrà stabilito in base ai seguenti criteri: per le abitazioni il cui valore locativo è già stato imposto negli anni precedenti viene riconfermato il valore locativo precedentemente tassato; per le nuove abitazioni monofamiliari, sempre che non ci siano altri elementi utili alla sua determinazione, il valore locativo da tassare corrisponde, di regola, al 95% del valore di reddito determinato dall’Ufficio di stima nell’ambito della decisione riguardante la stima ufficiale (questo valore risulta dalla scheda di calcolo della stima allegata alla decisione sulla stima). In caso di manifesta divergenza tra il valore locativo dichiarato e il valore di reddito determinato dall’Ufficio di stima occorrerà operare le opportune correzioni atte a conseguire un valore locativo tassato che si situi entro i limiti del 60-70% del valore medio delle pigioni di mercato per abitazioni dello stesso genere. In questi casi il valore locativo è determinato tenendo equamente conto del valore d’uso, del livello degli affitti pagati nella zona o ricorrendo a norme particolari (es. applicando una data quota per locale o per mq abitabile). Ne consegue che per le abitazioni il cui valore locativo era già imposto prima del periodo fiscale 2005 si applicano le percentuali seguenti al valore si stima ufficiale in vigore fino al 31 dicembre 2004: -                                               5%, se la stima è entrata in vigore fra il 1° gennaio 1991 e il 31 dicembre 2004; -                                               6,5%, se la stima è entrata in vigore negli anni precedenti. Nei comuni con revisione generale delle stime entrata in vigore dal 1° gennaio 1991 in poi si applica il 6.25% del valore di stima ufficiale del fabbricato ridotto del 30%. Questa Camera ha stabilito, a tale riguardo (cfr. CDT n. 178 del 26 settembre 1994 in RDAT I-1995 n. 22t, con riferimento a CDT N. 424 dell’11 novembre 1986 e CDT N. 498 del 12 dicembre 1986) che, in linea di principio, l’uguaglianza di trattamento non impedisce di procedere secondo parametri schematici. Si dovrà invece ricorrere a valutazioni individualizzate, per non ledere il principio della parità di trattamento, quando ricorrono circostanze del tutto particolari e o imprevedibili che rendono manifestamente insostenibile la stima ufficiale. Anche il Tribunale federale ha recentemente deciso che rientra fra i metodi compatibili con la LIFD per il calcolo del valore locativo quello previsto dal Canton Ticino, che consiste nel fondarsi sulle stime ufficiali cantonali degli immobili (sentenza n. 2A.484/2005 del 30 marzo 2006, consid. 3.1)." La Corte Cantonale ha, in conclusione della sua sentenza, dichiarato contraria alla legge la circolare 15/2005 della Divisione delle contribuzioni, secondo cui il valore locativo deve essere imposto sulla base di quello già tassato in precedenza. Come indicato quindi nell’ambito della determinazione del reddito lordo, che sarà successivamente commutato a mano delle apposite tabelle, l’amministrazione deve considerare anche il reddito derivante dal valore locativo, reddito che rispetta comunque criteri prudenziali (siccome fissato nel 60 – 70 % del valor di mercato delle pigioni). D'altro canto questo Tribunale ha sempre ammesso, per costante prassi, la deducibilità dal reddito lordo prima della sua conversione, solo degli alimenti versati e degli interessi passivi e quindi degli interessi sul debito ipotecario - in genere con diretta attinenza al reddito locativo - in questo senso TCA 36.2003.116 in re T. del 19 gennaio 2004; 36.2004.93 in re D. del 3 settembre 2004, 36.2004.129 del 19 ottobre 2004, in re M., 36.2005.112 in re S. del 3 ottobre 2005 dove si sono escluse altre possibili deduzioni pur ammesse in sede fiscale: “                                                … le richieste … di dedurre dal reddito lordo le importanti spese di trasferta e quelle di doppia economia domestica sono state respinte da questo Tribunale - il ragionamento dell'assicurato non può essere seguito. La legge impone infatti di procedere come ha correttamente operato l’amministrazione, ossia dapprima accertando il reddito lordo, successivamente commutandolo come tale in reddito imponibile. Le spese sostenute dall'assicurato non possono giuridicamente essere ritenute, pur nella consapevolezza che detti importi sono fiscalmente deducibili. Pertanto, questo Tribunale non può aderire alla richiesta del ricorrente di eseguire la deduzione dal reddito lordo di diverse spese, prima di una conversione secondo le predette tabelle. Il principio della legalità impedisce, come detto, tale agire." Ne discende che, in caso di diminuzione del reddito ai sensi della lettera m dell’art. 67 RLCAMal nella versione precedente la modifica del 13 marzo 2007 vigente dal 1 gennaio 2007 (si rinvia alle considerazioni che precedono a proposito dell’ammissibilità di tale retroattività), e quindi anche in caso di diminuzione effettiva del reddito locativo, potevano essere ritenuti gli estremi di Legge per la determinazione autonoma da parte dell'UAM del reddito da convertire. Non però in caso di incidenza maggiore delle poste deducibili ammesse secondo costante giurisprudenza (più sopra citata), ossia dell’aumento degli oneri ipotecari. In effetti un siffatto aumento comporterebbe crescita nelle uscite e non diminuzione delle entrate ed i presupposti dell’art. 67 litt. m RLCAMal nella versione sino a fine 2006 non sarebbero adempiuti.” 7.   In concreto le argomentazioni sollevate in sede di ricorso hanno già fatto oggetto di attenta analisi da parte dei collaboratori della CCC preposti allo specifico esame. Il responsabile del settore ha regolarmente ritenuto le sole entrate derivanti dal versamento di rendite, ciò che RI 1 non ha contestato. L’importo è stato correttamente convertito a mano delle apposite tabelle il cui utilizzo è obbligatorio. A questo importo cifrato in oltre CHF 23'000.-- l’amministrazione ha correttamente aggiunto il saldo del valore locativo dedotti gli interessi passivi sul debito per giungere ad una cifra che, purtroppo, supera (di poco) i limiti per la concessione dell’aiuto sociale. Il giudice, come l’amministrazione, deve attenersi ai parametri fissati dal legislatore rispettivamente dall’esecutivo cantonale per delega del Parlamento. In concreto, come più volte ribadito dalla prassi del TCA, in caso di modifica (diminuzione) del reddito occorre procedere mediante la quantificazione delle nuove entrate e la loro commutazione per il successivo raffronto con i parametri per la concessione del sussidio. Non è invece possibile fare riferimento alla decisione fiscale emessa per un altro periodo (cfr. TCA 11.10.2004, 36.2004.112 in re E.). L’operato della CCC AVS va confermato qui ed il ricorso respinto senza carico di tasse e spese e senza attribuzione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