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36.2010.64 vom 16. November 2009</w:t>
      </w:r>
    </w:p>
    <w:p>
      <w:r>
        <w:t>TI Tribunale d'appello, 2009-11-16, IT</w:t>
      </w:r>
    </w:p>
    <w:p>
      <w:r>
        <w:rPr>
          <w:b/>
        </w:rPr>
        <w:t xml:space="preserve">Quelle: </w:t>
      </w:r>
      <w:r>
        <w:t>https://mcp.opencaselaw.ch/entscheid/ti_gerichte_36.2010.64_d20091116</w:t>
      </w:r>
    </w:p>
    <w:p>
      <w:r>
        <w:t>FR: TI_GERICHTE 36.2010.64 du 16 novembre 2009</w:t>
      </w:r>
    </w:p>
    <w:p>
      <w:r>
        <w:t>IT: TI_GERICHTE 36.2010.64 del 16 novembre 2009</w:t>
      </w:r>
    </w:p>
    <w:p>
      <w:pPr>
        <w:pStyle w:val="Heading2"/>
      </w:pPr>
      <w:r>
        <w:t>Regeste</w:t>
      </w:r>
    </w:p>
    <w:p>
      <w:r>
        <w:t>Indennità giornaliera in caso di malattia. Esame della documentazione medica per stabilire il grado dell'incapacità lavorativa in attività leggere e confacenti allo stato di salute del ricorrente. Rinvio degli atti all'assicuratore per un nuovo calcolo del grado d'invalidità</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anni fa contribuisce al peggioramento della sua situazione. Non vi sono ripercussioni di questa malattia sul suo apparato locomotorio.” (doc. 20) Il 17 febbraio 2010 il dott. __________, medicina legale e delle assicurazioni di __________, ha attestato con uno scritto a mano non sempre facilmente leggibile che: " (…) Recenti accertamenti clinici ortopedici hanno posto indicazione ad intensa riabilitazione articolare, rieducazione posturale e (….) per le spalle che ha effettuato ed interrotto recentemente per recrudescenza della sintomatologia dolorosa. In considerazione, quindi, di un possibile miglioramento clinico con la rieducazione fisioterapica proposta e che verosimilmente dovrà riprendere, si ritiene che debba essere riconosciuto un ulteriore periodo di malattia di 60 giorni, salvo complicazioni, al fine di riprendere e proseguire la fisioterapia in atto per poter ottenere un miglioramento funzionale ed articolare delle spalle. Trascorso tale periodo si dovrà valutare il caso per poter verificare le eventuali necessità di ulteriori terapie fisiche ovvero se si sia raggiunta una stabilizzazione clinica. Verosimilmente potrebbe essere necessario intervento chirurgico per la spalla destra da valutare e breve termine.” (doc. 25) Da parte sua il dott. __________, medicina dello sport, dott. di ricerca in fisiologia, il 17 febbraio 2010 ha concluso affermando che “ attualmente inabile 100% per attività lavorativa con art DX ed inabile al 40% con arto sinistro ” (doc. E). Il</w:t>
      </w:r>
    </w:p>
    <w:p>
      <w:r>
        <w:rPr>
          <w:b/>
        </w:rPr>
        <w:t>E. 3</w:t>
      </w:r>
    </w:p>
    <w:p>
      <w:r>
        <w:t>marzo 2010 il dott. __________ ha precisato:</w:t>
      </w:r>
    </w:p>
    <w:p>
      <w:r>
        <w:rPr>
          <w:b/>
        </w:rPr>
        <w:t>E. 3.3</w:t>
      </w:r>
    </w:p>
    <w:p>
      <w:r>
        <w:t>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Infine,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Alla luce di tutto quanto sopra esposto il ricorso va parzialmente accolto ai sensi dei considerandi, la decisione impugnata va annullata e l’incarto rinviato all’assicuratore per il calcolo della (eventuale) prestazione da versare a partire dal 16 marzo 2010. Al ricorrente, rappresentato da un avvocato, vanno assegnate ripetibili. La presente sentenza rende priva di oggetto la domanda di concedere l’effetto sospensivo al ricorso (cfr. sentenza 8C_1019/2008 del 28 luglio 2009, consid. 3.2).</w:t>
      </w:r>
    </w:p>
    <w:p>
      <w:r>
        <w:rPr>
          <w:b/>
        </w:rPr>
        <w:t>E. 5</w:t>
      </w:r>
    </w:p>
    <w:p>
      <w:r>
        <w:t>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 sentenza del 21 marzo 2001 K 87/00, pag. 4 consid. 2d e dottrina citata). In concreto non vi sono motivi per non ritenere attendibili ed affidabili i referti del dr. med. __________, ritenuto come la documentazione prodotta dal ricorrente, come visto in precedenza, non è atta a sovvertirne le conclusioni. In queste condizioni l’allestimento di una perizia volta ad accertare la malattia del ricorrente, così come l’assunzione di ulteriori prove risulta superflua.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Alla luce di quanto sopra questo Tribunale deve concludere che, mentre è totalmente inabile al lavoro nella precedente attività, l’interessato può ancora svolgere un’attività leggera e confacente al suo stato valetudinario nella misura del 75%. 7.   Va infine ancora rilevato che il 15 marzo 2010 ed il 29 aprile 2010 (cfr. doc. 13 e doc. T), il medico curante, dr. med. __________, ha pure diagnosticato una sindrome depressiva reattiva, che in precedenza non figurava (cfr. le osservazioni del 26 gennaio 2010 in ambito AI dove un altro rappresentante del ricorrente non ha indicato nella diagnosi questa patologia [pag. 1 doc. 17]; cfr. anche l’attestato del 31 dicembre 2009 del dr. med. __________, allegato al doc. 17, dove non figura questa diagnosi). Ora, a prescindere della circostanza che la malattia è stata diagnosticata dopo l’emissione della decisione impugnata che determina il limite temporale dell’esame da parte del giudice chiamato ad esprimersi nel merito del provvedimento amministrativo impugnato (17 febbraio 2010, cfr. consid. 6) e che una sua incidenza sulla capacità lavorativa va semmai decisa con un altro provvedimento amministrativo, va comunque evidenziato come il curante si è limitato ad attestare la presenza di una sindrome depressiva reattiva senza indicare in che misura essa avrebbe un’influenza sulla capacità lavorativa del ricorrente, in attività confacenti e leggere, senza porre una diagnosi secondo una classificazione riconosciuta ed infine senza indicare da quando l’interessato è in cura presso di lui per questa malattia. I certificati, su questo punto scarni e poco motivati, non possono pertanto essere d’aiuto al ricorrente. Va qui infatti rilevato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A questo proposito va abbondanzialmente rilevato che con sentenza 9C_294/2008 del 19 marzo 2009 il Tribunale federale ha affermato: " (…) 4.2 In 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 danno di lieve entità. 4.3 Secondo il sistema di classificazione ICD-10 convenzionalmente utilizzato, la distimia configura una depressione cronica dell’umore che non è sufficientemente grave o nella quale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2008/IV no. 8 pag. 23, consid. 3.3.1 [I 649/06]).” In queste condizioni neppure le attestazioni in merito alla presenza di una patologia psichica sono atte a sovvertire le conclusioni circa la presenza di una capacità lavorativa del 75% in attività leggere e confacenti allo stato di salute del ricorrente. 8.   Con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(dal 1° gennaio 2007: TF)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STFA 28.1.1994 in re S. non pubbl.). Va qui ricordato che nella sentenza pubblicata in RAMI 2000 KV112, p. 122ss., l’Alta Corte ha stabilito l'applicabilità in ambito LAMal, della giurisprudenza elaborata allorquando ancora era in vigore la LAMI. In concreto, tenuto conto delle circostanze, con la decisione formale del 16 novembre 2009 l’assicuratore ha giustamente assegnato all’insorgente un termine di 4 mesi, con versamento delle prestazioni fino al 15 marzo 2010, per trovare un’occupazione confacente al suo stato di salute.</w:t>
      </w:r>
    </w:p>
    <w:p>
      <w:r>
        <w:rPr>
          <w:b/>
        </w:rPr>
        <w:t>E. 9</w:t>
      </w:r>
    </w:p>
    <w:p>
      <w:r>
        <w:t>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(sentenza 8C_709/2008 del 3 aprile 2009). Si tratta dunque ora di esaminare dal profilo economico le conseguenze del danno alla salute subìto dal ricorrente. Accertata quindi dal medico fiduciario una capacità lavorativa del 75% in attività da leggere a medie, con scritto del 12 maggio 2010 (doc. XIII) la Cassa malati ha informato il TCA che, mettendo a confronto il reddito che l ' assicurato avrebbe conseguito senza il danno alla salute nella sua precedente attività (reddito da valido) con quello risultante da un ' attività più leggera desunto dai salari statistici (reddito da invalido), contrariamente a quanto stabilito con la decisione impugnata, il grado d’invalidità ammonterebbe al 53% e non al 21,5% (doc. IX). A norma dell'art. 53 cpv. 3 LPGA l'assicuratore può riconsiderare una decisione o una decisione su opposizione, contro le quali è stato inoltrato ricorso, fino all'invio del suo preavviso all'autorità di ricorso. L'amministrazione può rivedere la decisione impugnata solo fino alla presentazione della risposta. Tale condizione temporale è adempiuta se il nuovo provvedimento viene trasmesso all'istanza di ricorso entro il termine per l'inoltro della risposta (cfr. R. Hischier, Die Wiedererwägung pendente lite im Sozialversicherungsrecht oder die Möglichkeit der späten Einsicht, in SZS 1997, pag. 457; DTF 109 V 236 consid. 2). Una decisione resa dopo questo termine assume per contro unicamente il carattere di una proposta indirizzata al giudice, affinché egli decida nei sensi della nuova valutazione (Pratique VSI 1994 pag. 281; RCC 1992 pag. 123 consid. 5, RCC 1989 pag. 320 consid. 2a, RCC 1984 pag. 283, DTF 109 V 236; Spira, " Le contentieux des assurances sociales fédérales et la procédure cantonale " in RJN 1984, pag. 23), Nel caso di specie lo scritto del 12 maggio 2010 dell’assicuratore va considerato come una semplice proposta. Dagli atti, e meglio, dalla decisione formale (doc. 21), emerge che l’assicuratore, per il raffronto dei redditi, ha preso in considerazione il salario percepito dal ricorrente nel 2008, ossia fr. 63'570, che corrisponde al reddito mensile (per tredici mensilità) di fr. 4'890 attestato dal datore di lavoro il 5 agosto 2008 (doc. 2). Tuttavia,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In concreto pertanto l’assicuratore avrebbe dovuto utilizzare il reddito che l’interessato avrebbe potuto conseguire nel marzo del 2010, ossia all’inizio del diritto all’eventuale indennità e non il salario conseguito nel 2008. Rilevato che la decisione impugnata va comunque annullata giacché il calcolo era stato effettuato sulla base di un grado di capacità lavorativa in attività leggera del 100%, mentre dall’istruttoria condotta nelle more processuali è emersa una capacità lavorativa del 75%, anche per preservare il diritto del ricorrente ad un doppio grado di giudizio, l’incarto va rinviato all’amministrazione affinché, dopo aver accertato presso il datore di lavoro il salario che l’assicurato avrebbe potuto percepire nel 2010 continuando a svolgere la medesima attività, stabilisca il grado d’invalidità dell’interessato e, se, come sembra essere il caso (cfr. doc. IX), sarà superiore al 25%, versi le indennità dal 16 marzo 2010. Va ancora abbondanzialmente rilevato per quel che concerne il reddito da invalido,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Tramite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cfr. inoltre, tuttavia, sentenza 9C-404/2007 dell’11 aprile 2008, consid. 2.3: “ Da der tatsächlich erzielte Verdienst von Fr. 53'365.- nicht deutlich unter dem Tabellenlohn von Fr. 55'640.- liegt, besteht nach der Rechtsprechung kein Anlass, vom Grundsatz abzuweichen und zu einer Korrektur zu schreiten (Urteile des Eidgenössischen Versicherungsgerichts, R. vom 30. September 2002, I 186/01, H. vom 7. Mai 2001, I 314/00, und K. vom 16. März 1998, I 179/97) ”, sottolineatura del redattore). La questione è stata di recente definitivamente risolta dalla nostra Massima Istanza, la quale nella sentenza 8C_44/2009 del 3 giugno 2009 ha ricordato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