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36.2010.48 vom 9. Mai 2011</w:t>
      </w:r>
    </w:p>
    <w:p>
      <w:r>
        <w:t>TI Tribunale d'appello, 2011-05-09, IT</w:t>
      </w:r>
    </w:p>
    <w:p>
      <w:r>
        <w:rPr>
          <w:b/>
        </w:rPr>
        <w:t xml:space="preserve">Quelle: </w:t>
      </w:r>
      <w:r>
        <w:t>https://mcp.opencaselaw.ch/entscheid/ti_gerichte_36.2010.48</w:t>
      </w:r>
    </w:p>
    <w:p>
      <w:r>
        <w:t>FR: TI_GERICHTE 36.2010.48 du 9 mai 2011</w:t>
      </w:r>
    </w:p>
    <w:p>
      <w:r>
        <w:t>IT: TI_GERICHTE 36.2010.48 del 9 maggio 2011</w:t>
      </w:r>
    </w:p>
    <w:p>
      <w:pPr>
        <w:pStyle w:val="Heading2"/>
      </w:pPr>
      <w:r>
        <w:t>Erwägungen</w:t>
      </w:r>
    </w:p>
    <w:p>
      <w:r>
        <w:rPr>
          <w:b/>
        </w:rPr>
        <w:t>E. 30</w:t>
      </w:r>
    </w:p>
    <w:p>
      <w:r>
        <w:t>settembre 2008 per “regolarizzare” la situazione, dopo aver rammentato che l'art. 3 n. 3 del regolamento n. 574/72 stabilisce che le decisioni e altri documenti rilasciati da un'istituzione di uno Stato membro e destinati a persona che risiede o dimora nel territorio di un altro Stato membro possono essere notificati direttamente all'interessato per lettera raccomandata con ricevuta di ritorno, il Tribunale Federale ha lasciato indecisa l'esatta natura del provvedimento poiché, sia che si consideri la comunicazione del 12 giugno 2008 come una decisione individuale-concreta o diffida o come altro documento ai sensi dell'art. 3 n. 3 del regolamento 574/72, sia che si voglia qualificare la sanatoria in quanto tale quale atto generale-astratto o generale-concreto, la sostanza non muterebbe giacché, dal momento che la corretta notifica dell'atto non è avvenuta o comunque non ha potuto essere dimostrata, esso non poteva esplicare effetti giuridici negativi nei confronti del ricorrente, la Massima istanza ha poi evidenziato che l'UAM non è stato in grado di fornire la prova (secondo il grado della verosimiglianza preponderante) dell'avvenuta notifica della sua comunicazione nella sfera di influenza (“ Machtbereich ”) del destinatario e che la Corte cantonale, che ha escluso la sussistenza per l'UAM di un obbligo di informazione individuale e personale ai frontalieri, non ha ritenuto necessario approfondire oltre la questione tralasciando così di sentire il datore di lavoro del ricorrente. Quest'ultimo anche in occasione dell'udienza del 25 settembre 2009 aveva negato di essere stato informato tramite la posta o il suo datore di lavoro sul diritto alla sanatoria. Di conseguenza, potendosi basare sulla dichiarazione dell'insorgente, che ha sostenuto di essere venuto a conoscenza della possibilità di optare soltanto con la decisione di affiliazione d'ufficio del 17 febbraio 2009 ed avendo il ricorrente prontamente reagito, il 25 febbraio 2009, dopo aver appreso della possibilità di esercitare il diritto di opzione, il TF ha stabilito che l'insorgente non ha agito tardivamente e poteva validamente chiedere di essere esentato dall'obbligo assicurativo in Svizzera con effetto ex tunc, ossia dall'inizio del suo ipotetico assoggettamento (Allegato II ALC, Sezione A cpv. 1 lett. o cifra 3 b aa seconda frase; sentenza citata, consid. 5.9 e 5.10), l'Alta Corte, ritenuto inoltre che l'assicurato ha esibito la tessera europea di assicurazione malattia della regione italiana di confine dove il frontaliere risiede, ha ritenuto adempiute le condizioni previste dall'art. 2 cpv. 6 OAMal per ottenere l'esenzione dall'obbligo assicurativo in Svizzera, il TF ha inoltre evidenziato come, pur trattandosi di fatti nuovi, le autorità cantonali sembrerebbero nel frattempo avere modificato la loro prassi ed ha affermato che ” Nell'accogliere il 21 aprile 2010 una mozione dell'11 marzo 2008” che “chiedeva una moratoria nell'affiliazione retroattiva all'assicurazione malattia svizzera dei frontalieri che non avevano riempito (nel 2002) il modulo TI1, il Gran Consiglio ticinese, considerato evaso l'atto parlamentare per quel che concerneva la sanatoria scaduta il 30 settembre 2008 (oggetto delle presenti procedure di ricorso), ha osservato che dall'ottobre 2008 si sarebbero registrati circa 1800 nuovi casi di frontalieri che non hanno esercitato il diritto di opzione. Ora, da una lettura del rapporto n. 6311R del 30 marzo 2010 della Commissione della gestione e delle finanze (consultabile al sito del Cantone Ticino www.ti.ch ) sembrerebbe che l'autorità cantonale ha deciso una nuova procedura in sanatoria nei confronti di questi nuovi frontalieri ai quali, questa volta, è (stata) inviata per posta raccomandata la diffida a voler esercitare l'eventuale diritto di opzione ”, alla luce di quanto sopra esposto, considerato che la fattispecie è in parte simile a quella giudicata dal Tribunale Federale con la citata sentenza 9C_1042/2009 del 7 settembre 2010 - visto che la ricorrente ha messo in dubbio di avere ricevuto la comunicazione del 12 giugno 2008 -, come pure è analoga ad altri casi giudicati di recente da questo Tribunale (STCA del 4 ottobre 2010, 36.2009.148; STCA del 7 ottobre 2010, 36.2010.4; STCA del 7 ottobre 2010, 36.2010.23; STCA del 7 ottobre 2010, 36.2010.34; STCA del 7 ottobre 2010, 36.2010.50; STCA dell'11 ottobre 2010, 36.2010.16; STCA del 14 ottobre 2010, 36.2010.5; STCA del 19 ottobre 2010, 36.2010.11; STCA del 25 ottobre 2010, 36.2010.22; STCA del 4 novembre 2010, 36.2010.24; STCA del 10 novembre 2010, 36.2010.33), rammentato che spetta all'autorità amministrativa (UAM, ora Cassa cantonale di compensazione - Ufficio dei contributi) accertare i fatti d'ufficio (cfr. art. 76 cpv. 1 seconda frase LCAMal, art. 18 cpv. 1 LPAmm, art. 43 LPGA), rilevato che in concreto l'allora UAM non ha interpellato il datore di lavoro dell'insorgente, al fine di garantire il doppio grado di giudizio il ricorso va quindi accolto e la decisione impugnata annullata, con rinvio degli atti all'autorità cantonale competente, di conseguenza, dopo avere accertato se per il tramite del datore di lavoro dell'interessata la sua comunicazione è pervenuta nella sfera d'influenza della ricorrente (cfr. consid. 5.9, pag. 16 della sentenza 9C_1042/2009 del 7 settembre 2010), alla quale domanderà la produzione della tessera europea di assicurazione malattia per comprovare di essere assicurata nel suo Paese di residenza (cfr. consid. 6.1 pag. 17 della sentenza 9C_1042/2009 del 7 settembre 2010), e dopo avere inoltre esaminato nuovamente l'intera fattispecie anche alla luce della decisione del 21 aprile 2010 del Gran Consiglio ticinese che ha accolto una mozione dell'11 marzo 2008 sull'affiliazione retroattiva all'assicurazione malattia svizzera dei frontalieri che non avevano riempito (nel 2002) il modulo TI1 (cfr. anche consid. 5.11 pag. 16 della sentenza 9C_1042/2009 del 7 settembre 2010), la Cassa cantonale di compensazione dovrà rendere una nuova decisione formale sull'affiliazione dell'insorgente alla Cassa malati svizzera, stanti così le cose alla ricorrente, malgrado sia vincente in causa, non vanno assegnate delle ripetibili siccome non è rappresentata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