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36.2010.47 vom 17. Februar 2009</w:t>
      </w:r>
    </w:p>
    <w:p>
      <w:r>
        <w:t>TI Tribunale d'appello, 2009-02-17, IT</w:t>
      </w:r>
    </w:p>
    <w:p>
      <w:r>
        <w:rPr>
          <w:b/>
        </w:rPr>
        <w:t xml:space="preserve">Quelle: </w:t>
      </w:r>
      <w:r>
        <w:t>https://mcp.opencaselaw.ch/entscheid/ti_gerichte_36.2010.47_d20090217</w:t>
      </w:r>
    </w:p>
    <w:p>
      <w:r>
        <w:t>FR: TI_GERICHTE 36.2010.47 du 17 février 2009</w:t>
      </w:r>
    </w:p>
    <w:p>
      <w:r>
        <w:t>IT: TI_GERICHTE 36.2010.47 del 17 febbraio 2009</w:t>
      </w:r>
    </w:p>
    <w:p>
      <w:pPr>
        <w:pStyle w:val="Heading2"/>
      </w:pPr>
      <w:r>
        <w:t>Regeste</w:t>
      </w:r>
    </w:p>
    <w:p>
      <w:r>
        <w:t>Affiliazione di un frontaliere all'assicurazione malattie svizzera. Il ricorso è respinto in applicazione della giurisprudenza federale (sentenza 9C_1089/2009 del 21 gennaio 2011, sentenza 9C_211/2010 del 18 febbraio 2011)</w:t>
      </w:r>
    </w:p>
    <w:p>
      <w:pPr>
        <w:pStyle w:val="Heading2"/>
      </w:pPr>
      <w:r>
        <w:t>Volltext</w:t>
      </w:r>
    </w:p>
    <w:p>
      <w:r>
        <w:t>Tessin Tribunale cantonale delle assicurazioni 04.04.2011 36.2010.47 Tessin Tribunale cantonale delle assicurazioni 04.04.2011 36.2010.47 Ticino Tribunale cantonale delle assicurazioni 04.04.2011 36.2010.47</w:t>
      </w:r>
    </w:p>
    <w:p>
      <w:r>
        <w:t>Affiliazione di un frontaliere all'assicurazione malattie svizzera. Il ricorso è respinto in applicazione della giurisprudenza federale (sentenza 9C_1089/2009 del 21 gennaio 2011, sentenza 9C_211/2010 del 18 febbraio 2011)</w:t>
      </w:r>
    </w:p>
    <w:p>
      <w:r>
        <w:t>Raccomandata Incarto n. 36.2010.47 cs Lugano 4 aprile 2011 In nome della Repubblica e Cantone Ticino Il giudice delegato del Tribunale cantonale delle assicurazioni Giudice Ivano Ranzanici con redattore: Christian Steffen , vicecancelliere segretario: Fabio Zocchetti statuendo sul ricorso del 2 (recte: 6) marzo 2010 di RI 1 rappr. da:  RA 1 contro la decisione su reclamo del 29 gennaio 2010 emanata da Cassa cantonale di compensazione Ufficio dei contributi (in precedenza: Ufficio dell’Assicurazione Malattia) , 6501 Bellinzona in materia di assicurazione sociale contro le malattie ritenuto in fatto ed in diritto che                                  RI 1, cittadina __________ nata nel 1984, residente a __________, al beneficio di un permesso G per frontalieri, è attiva presso __________ e __________ a __________ (doc. 1), con decisione del 17 febbraio 2009 (doc. 1) l’Ufficio dell’assicurazione malattia (dal 1° febbraio 2010: Cassa cantonale di compensazione, Ufficio dei contributi), ha affiliato d’ufficio RI 1, con effetto dal medesimo giorno, presso la __________, non avendo l’assicurata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dall’allora Ufficio dell’assicurazione malattia (UAM), previa indicazione delle Autorità federali, per sanare la situazione venutasi a creare in seguito al mancato esercizio del diritto di opzione da parte di migliaia di frontalieri residenti in Italia, RI 1 ha inoltrato reclamo avverso la predetta decisione, affermando di non essere mai stata informata della “sanatoria” in corso, di non aver saputo assolutamente nulla e facendo valere di voler ora optare in favore del sistema sanitario del suo Paese di residenza, allegando copia del formulario TI1 datato 19 giugno 2008 (doc. 2), l’8 agosto 2009, in assenza di una presa di posizione dell’allora UAM, l’interessata ha scritto all’amministrazione rilevando di aver trasmesso il modulo TI1 in data 19 giugno 2008 per posta semplice dall’__________ perché nessuno l’ha informata circa la necessità di trasmetterlo tramite raccomandata ed affermando che un collega di suo marito, trovatosi nella medesima situazione, ha ottenuto l’esonero (doc. 3), il 5 dicembre 2009 l’insorgente ha ribadito di aver trasmesso il formulario il 19 giugno 2008 ed ha evidenziato che il marito ha optato in favore del sistema sanitario italiano, indicando tutti i famigliari (doc. 5), l’allora UAM ha confermato l’affiliazione all’assicurazione malattie svizzera con decisione su reclamo del 29 gennaio 2010 (doc. 6), contro la predetta decisione RI 1, rappresentata dal marito RA 1, è insorta al TCA (doc. I), l’insorgente afferma di aver ricevuto il modulo TI1 il 12 giugno 2008 e di averlo rispedito il 19 giugno 2008 non tramite raccomandata ma per posta semplice, la ricorrente rammenta che suo marito ha spedito il proprio formulario l’8 aprile 2007 all’amministrazione, la quale lo ha accettato, rileva che è già assicurata in Italia, di non riuscire a pagare tutti gli arretrati, di dover pagare la baby sitter circa Euro 1'000 al mese ossia quasi la metà del suo salario mensile e che a questo punto non le vale la pena lavorare (doc. I), con risposta del 18 marzo 2010 l’amministrazione propone la reiezione del ricorso con argomentazioni che, laddove necessario, saranno riprese in corso di motivazione (doc. IV), pendente causa il Giudice delegato del TCA ha richiamato dalla Cassa cantonale di compensazione gli atti relativi all’esercizio del diritto d’opzione del marito (doc. VI), il 16 aprile  2010 l’amministrazione ha prodotto quanto richiesto (doc. VII), la documentazione è stata trasmessa per conoscenza alla ricorrente (doc. VIII),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9C_211/2010 del 18 febbraio 2011; STF 9C_792/2007 del 7 novembre 2008; e giurisprudenza ivi citata), visto l’esito del ricorso non va qui esaminata la questione circa il mancato invio, a questo Tribunale, da parte del marito, della procura scritta a rappresentare la ricorrente chiesta il 22 marzo 2010 e la tempestività del ricorso 6 marzo 2010 contro la decisione datata 29 gennaio 2010 (doc. I e V), l’Accordo del 21 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alla fattispecie in esame pure da un punto di vista personale e materiale. Di cittadinanza __________, la ricorrente è infatti una lavoratrice che è o è stata soggetta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con sentenza 9C_1042/2009 del 7 settembre 2010 pubblicata in DTF 136 V 295, il TF ha accolto il ricorso di un lavoratore frontaliere che affermava di non essere stato informato personalmente della procedura in sanatoria avviata dall’allora UAM che gli avrebbe permesso di esercitare nuovamente il diritto d’opzione entro il 30 settembre 2008, nella citata sentenza l’Alta Corte ha rammentato che l 'art. 13 n. 1 del regolamento 1408/71 enuncia il principio dell'unicità della legislazione applicabile in funzione delle regole previste dagli art. 13 n. 2-17bis,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(art. 13 n. 2 lett. a del regolamento n. 1408/71; DTF 135 V 339 consid. 4.3.1 pag. 343; 133 V 137 consid. 6.1 pag. 143 con riferimenti), in concreto l’insorgente, dipendente di __________ e __________, di massima, va affiliata in Svizzera, sono però possibili eccezioni a questo principio. In effetti, in applicazione dell'art.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 b, nella sua versione modificata dalle decisioni n. 2/2003 e 1/2006 del Comitato misto UE-Svizzera del 15 luglio 2003 e del 6 luglio 2006 [RU 2004 1277 e RU 2006 5851]). Tale facoltà è comunemente detta "diritto d'opzione" (DTF 135 V 339 consid. 4.3.2 pag. 344 con riferimenti; sull'origine e la portata pratica di questo diritto d'opzione cfr. Ursula Hohn, Rechtsprobleme bei der Umsetzung des Koordinationsrechts in der Krankenversicherung, in: Thomas Gächter [ed.], Das europäische Koordinationsrecht der sozialen Sicherheit und die Schweiz, 2006, pagg. 66 seg.),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Gebhard Eugster, Krankenversicherung, in Soziale Sicherheit, SBVR, 2a ed. 2007, pag. 423, n. 73 e 75; Guylaine Riondel Besson, Le droit d'option en matière d'assurance maladie dans le cadre de l'accord sur la libre circulation des personnes: difficultés de mise en oeuvre et conséquences pour les assurés [in seguito: Le droit d'option], in: Cahiers genevois et romands de sécurité sociale, 42/2009, pag. 35; Bettina Kahil-Wolff/Corinne 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gli organi esecutivi cantonali e federali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cpv. 1 lett. o cifra 3 b aa seconda frase disponendo che quando in casi giustificati la richiesta è presentata dopo il termine di tre mesi, l'esenzione diventa efficace dall'inizio dell'assoggettamento all'assicurazione obbligatoria. In tali circostanze, l'UFSP ha dato, insieme all'UFAS, il proprio benestare per una procedura in sanatoria, così, oltre al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l'amministrazione ha pure trasmesso una comunicazione specifica a 13'569 datori di lavoro - anch'essi incaricati, in virtù del diritto cantonale di applicazione (v. art. 6a cpv. 1 lett. a LAMal e art. 10 OAMal), di fornire ai lavoratori non domiciliati soggetti all'obbligo di assicurazione le informazioni necessarie (art. 16 della legge cantonale di applicazione della LAMal del 26 giugno 1997 [LCAMal; RL/TI 6.4.6.1] e art. 5 del relativo regolamento esecutivo [RLCAMal; RL/TI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L'operazione ha permesso di "regolarizzare" il 95.8 % dei frontalieri interessati che hanno optato in favore della copertura assicurativa nel proprio Paese di residenza, nella citata sentenza 9C_1042/2009 del 7 settembre 2010 pubblicata in DTF 136 V 295, a proposito della notifica irregolare di un atto amministrativo all’estero, in un caso in cui l’insorgente affermava di non essere stato informato della “ sanatoria ” in atto e meglio della possibilità di esercitare il diritto di opzione entro il 30 settembre 2008,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TF ha stabilito che l’UAM, diversamente da un’autorità giudiziaria (DTF 135 V 293 consid. 2.2.3 pag. 295), può senz’altro essere considerato un’istituzione ai sensi di tale disposto, trattandosi di un’autorità incaricata di applicare, almeno in parte, la legislazione in materia (art. 1 lett. n del regolamento 1408/71), nella sentenza 9C_1042/2009 del 7 settembre 2010 l’Alta Corte al consid. 5.8 ha pure rammentato che dal momento che la corretta notifica dell'atto (nel caso giudicato: la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successivamente, con sentenza 9C_1089/2009 del 21 gennaio 2011, il TF, in un caso in cui la ricorrente (frontaliera) non aveva contestato di aver ricevuto la decisione dell’amministrazione, ma aveva sostenuto di aver esercitato tempestivamente l’opzione in favore del suo Paese di residenza, ha rammentato che gli art. 84-93 del regolamento n. 1408/71 relativo all’applicazione dei regimi di sicurezza sociale ai lavoratori subordinati, ai lavoratori autonomi e ai loro familiari che si spostano all’interno della Comunità (RS 0.831.109.268.1) contengono alcune norme di procedura amministrativa internazionale (v. DTF 136 V 295 consid. 5.4 pag. 306), ma che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SVR 2006 KV n. 6 pag. 13 [K 44/03] consid. 2.4; 2005 AHV n. 1 pag. 1 [H 377/01]), il TF ha poi rammentato che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Ora, mentre per quel che concerne la notifica di una decisione o di una comunicazione dell’amministrazione essa dev’essere dimostrata – dall’amministrazione stessa – secondo il principio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la prova della verosimiglianza preponderante non basta. La tempestività dell’atto o della dichiarazione deve essere determinata con certezza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compatibilmente quindi anche con il principio dell’effettività (v. per analogia DTF 130 V 132 consid. 4.1 pag. 137), al consid. 4.3 l’Alta Corte ha sviluppato le seguenti considerazioni: “4.3 Ciò premesso, la valutazione del primo giudice che non ha ritenuto provata, con la necessaria certezza, la trasmissione del modulo TI1 il 26 settembre 2008, non lede alcuna norma di diritto (federale o internazionale), né risulta da un accertamento manifestamente errato o incompleto dei fatti o da un apprezzamento arbitrario delle prove (sul concetto di arbitrio nel presente contesto cfr. SVR 2008 IV n. 60 pag. 195 [9C_337/2007] consid. 6.2.2). La dichiarazione della fiduciaria U._________ SA, il cui operato dev'essere imputato alla ricorrente, non permette infatti di raggiungere questa necessaria certezza né di fondare un caso giustificato ai sensi dell'ALC (Allegato II, Sezione A cpv. 1 lett. o cifra 3 b aa seconda frase). E neppure l'audizione del suo responsabile sarebbe atta a modificare questa valutazione poiché non potrebbe comunque dimostrare l'effettiva spedizione e ricezione della dichiarazione d'opzione che per potere esplicare effetti giuridici doveva pervenire (tempestivamente) nella sfera di influenza del destinatario (sulle possibili agevolazioni di questa prova, a condizione però che - contrariamente al caso di specie - l'interessato sia in grado di produrre una ricevuta postale attestante l'avvenuta spedizione e una copia dell'atto in questione cfr. DLA 1994 n. 20 pag. 150 consid. 3b [C 94/94]). Di conseguenza, non potendosi dimostrare l'avvenuto esercizio del diritto di opzione in favore del sistema sanitario italiano entro il 24 dicembre 2008, l'interessata - che deve sopportare le conseguenze della mancata prova - non poteva (giustamente) essere esentata dall'obbligo di affiliazione in Svizzera (cfr. DTF 136 V 295 consid. 2.3.1 - 2.3.4 pag. 299 seg.)” (sottolineature del redattore), infine, con sentenza 9C_211/2010 del 18 febbraio 2011, in un ulteriore caso in cui la ricorrente (frontaliera) non aveva contestato né di essere stata informata circa la “ sanatoria ” in atto né di aver ricevuto la decisione (formale e su reclamo) dell’amministrazione, ma aveva sostenuto di aver esercitato tempestivamente l’opzione in favore del suo Paese di residenza, compilando e rispedendo, per posta normale, l’apposito modulo, il TF ha ribadito che la tempestività dell’atto o della dichiarazione deve essere determinata con certezza ed ha confermato l’affiliazione della ricorrente all’assicurazione malattie in Svizzera, al consid. 3.4 l’Alta Corte ha affermato: “3.4 Ciò premesso, la valutazione del primo giudice che non ha ritenuto provata, con la necessaria certezza, la trasmissione del modulo per esercitare il diritto di opzione in favore del sistema sanitario italiano, non lede alcuna norma di diritto (federale o internazionale), né risulta da un accertamento manifestamente errato o incompleto dei fatti o da un apprezzamento arbitrario delle prove (sul concetto di arbitrio nel presente contesto cfr. sentenza 9C_337/2007 del 12 giugno 2008, in SVR 2008 IV n. 60 pag. 195 consid. 6.2.2). Le dichiarazioni della teste O.________ non permettono infatti di raggiungere questa necessaria certezza né di fondare un caso giustificato ai sensi dell'ALC (Allegato II, Sezione A cpv. 1 lett. o cifra 3 b aa seconda frase). Esse non consentono in particolare di dimostrare l'effettiva spedizione e ricezione della dichiarazione d'opzione che per potere esplicare effetti giuridici doveva appunto pervenire (tempestivamente) nella sfera di influenza del destinatario (sulle possibili agevolazioni di questa prova, a condizione però che l'interessato - contrariamente al caso di specie - sia in grado di produrre una ricevuta postale attestante l'avvenuta spedizione e una copia dell'atto in questione cfr. DLA 1994 n. 20 pag. 150 consid. 3b [C 94/94]). Certamente senza arbitrio, e anzi in conformità agli atti, la Corte cantonale ha accertato che l'unico modulo che la rappresentante della datrice di lavoro avrebbe rispedito all'UAM - comunque verso metà dicembre 2008, ossia ben oltre il termine di fine settembre 2008 che era stato fissato per esercitare, in via di sanatoria, il diritto di opzione, quello ordinario essendo per contro scaduto da tempo - era quello, debitamente crociato e firmato, che si limitava a certificare, su richiesta 15 dicembre 2008 dell'amministrazione, la presenza della lavoratrice in ditta. Del resto, pur dicendosi "certa di avere avuto in mano il formulario per il diritto di opzione della sig.ra S.__________", la teste O.________, confrontata con il modulo TI1, non lo ha riconosciuto. Di conseguenza, non potendosi dimostrare l'avvenuto e tempestivo esercizio del diritto di opzione in favore del sistema sanitario italiano, l'interessata - che deve sopportare le conseguenze della mancata prova - non poteva (giustamente) essere esentata dall'obbligo di affiliazione in Svizzera (cfr. DTF 136 V 295 consid. 2.3.1 - 2.3.4 pag. 299 segg.), in concreto l’insorgente dopo aver inizialmente affermato, in sede di reclamo, di non essere assolutamente stata al corrente della facoltà di esercitare il diritto di opzione in favore del sistema sanitario del suo Paese di residenza entro il 30 settembre 2008 (doc. 2), pur allegando copia del formulario TI1 firmato e datato 19 giugno 2008 (doc. 2), ha successivamente ammesso (doc. 5, 3 ed I) di aver inviato il citato modulo proprio il 19 giugno 2008 ma di averlo spedito, dall’__________, per posta semplice e non per raccomandata, non sapendo che sarebbe stato necessario avere una prova della spedizione, tuttavia, spetta all’insorgente comprovare con certezza l’avvenuta spedizione e ricezione del modulo TI 1 che per potere esplicare effetti giuridici doveva pervenire (tempestivamente) nella sfera di influenza dell’amministrazione (sentenza 9C_1089/2009 del 21 gennaio 2011 e sentenza 9C_211/2010 del 18 febbraio 2011), in assenza della ricevuta postale dell’atto in questione, le affermazioni della ricorrente e la produzione della copia del modulo TI1 non permettono di comprovare l’effettiva spedizione e ricezione della dichiarazione d’opzione che doveva pervenire nella sfera di influenza della Cassa (cfr. sentenza 9C_1089/2009 del 21 gennaio 2011 e sulle possibili agevolazioni di questa prova, a condizione però che - contrariamente al caso di specie - l'interessato sia in grado di produrre una ricevuta postale attestante l'avvenuta spedizione e una copia dell'atto in questione, cfr. DLA 1994 n. 20 pag. 150 consid. 3b [C 94/94]), di conseguenza, non potendosi dimostrare l'avvenuto esercizio del diritto di opzione in favore del sistema sanitario italiano entro il 30 settembre 2008, l'interessata - che deve sopportare le conseguenze della mancata prova - non può essere esentata dall'obbligo di affiliazione in Svizzera (sentenza 9C_1089/2009 del 21 gennaio 2011), innanzi all’amministrazione l’interessata ha pure accennato al fatto che anche un collega di suo marito si è trovato nella medesima situazione e che la Cassa gli avrebbe annullato l’iscrizione d’ufficio, tuttavia l’insorgente non ha fornito nomi e non ha comprovato le sue affermazioni, in ogni caso va rammentato che con sentenza K 109/06 del 5 dicembre 2007 il Tribunale federale nel caso di un assicurato che invocava un trattamento diverso ricevuto da due ex colleghi domiciliati in due altri Cantoni, ha affermato: " (…)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omissis … ) dalla quale la stessa non intenda scostarsi. Irrilevante sarebbe per contro l’esistenza di una prassi contraria in altri Cantoni (DTF 131 V 9 consid. 3.7 pag. 20; RAMI 2006 no. KV 367 pag. 206, consid. 11 pag. 225 [K 25/05] con riferimenti). Ora, nel caso concreto, non risulta in alcun modo che (… omissis … ) abbia in passato istituito una prassi contraria alla legge. Né tantomeno si può seriamente dedurre dalle sue prese di posizione l’intenzione di mantenere una simile prassi.” (sottolineatura del redattore), analogamente, nel caso di specie non essendo resa verosimile la presenza di una prassi contraria ed illegale dell’amministrazione né tantomeno l’intenzione da parte della Cassa di mantenere un’eventuale simile prassi, le lamentele dell’insorgente vanno respinte, neppure può esserle d’aiuto la circostanza che il marito, nel formulario TI1 spedito nel maggio 2007, l’ha inserita tra i famigliari (doc. VII/1), infatti, a quel tempo l’insorgente era senza attività lucrativa (doc. VII/1 e VII/2) e quando, nel maggio 2008, ha iniziato a lavorare in Svizzera, avrebbe dovuto optare personalmente in favore del suo sistema sanitario nazionale poiché il termine per esercitare il diritto d’opzione inizia a decorrere dal primo giorno di lavoro (cfr. sentenza 9C_1042/2009 del 7 settembre 2010 pubblicata in DTF 136 V 295, consid. 2.3.3 in fine), la circostanza che l’interessata beneficia anche dell’assicurazione malattie in Italia non è rilevante poiché, proprio in applicazione dell’ALC, essa deve affiliarsi in Svizzera, tranne nel caso in cui, tempestivamente, fa valere il proprio diritto d’opzione in favore del suo Paese di residenza e spetta pertanto all’insorgente chiedere, semmai, lo stralcio dall’assicurazione italiana, nella misura in cui l’insorgente fa valere di trovarsi in difficoltà finanziarie, può chiedere all’amministrazione, se dati i presupposti, di essere messa al beneficio del sussidio per il pagamento del premio dell’assicurazione malattie conformemente a quanto prevede l’art. 65a LAMal,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