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36.2010.44 vom 2. Februar 2011</w:t>
      </w:r>
    </w:p>
    <w:p>
      <w:r>
        <w:t>TI Tribunale d'appello, 2011-02-02, IT</w:t>
      </w:r>
    </w:p>
    <w:p>
      <w:r>
        <w:rPr>
          <w:b/>
        </w:rPr>
        <w:t xml:space="preserve">Quelle: </w:t>
      </w:r>
      <w:r>
        <w:t>https://mcp.opencaselaw.ch/entscheid/ti_gerichte_36.2010.44</w:t>
      </w:r>
    </w:p>
    <w:p>
      <w:r>
        <w:t>FR: TI_GERICHTE 36.2010.44 du 2 février 2011</w:t>
      </w:r>
    </w:p>
    <w:p>
      <w:r>
        <w:t>IT: TI_GERICHTE 36.2010.44 del 2 febbraio 2011</w:t>
      </w:r>
    </w:p>
    <w:p>
      <w:pPr>
        <w:pStyle w:val="Heading2"/>
      </w:pPr>
      <w:r>
        <w:t>Regeste</w:t>
      </w:r>
    </w:p>
    <w:p>
      <w:r>
        <w:t>Fatturazione giudicata dall'assicuratore troppo elevata. Il tribunale cantonale delle assicurazioni non è competente perché la lite concerne in realtà il fornitore di prestazioni e l'assicuratore. Quest'ultimo deve rappresentare l'assicurato innanzi il Tribunale arbitrale</w:t>
      </w:r>
    </w:p>
    <w:p>
      <w:pPr>
        <w:pStyle w:val="Heading2"/>
      </w:pPr>
      <w:r>
        <w:t>Erwägungen</w:t>
      </w:r>
    </w:p>
    <w:p>
      <w:r>
        <w:rPr>
          <w:b/>
        </w:rPr>
        <w:t>E. 5.1</w:t>
      </w:r>
    </w:p>
    <w:p>
      <w:r>
        <w:t>Im vorliegenden Fall gilt das System des Tiers garant (Art. 42 Abs. 1 und 89 Abs. 3 KVG); dies bedeutet nach dem klaren Wortlaut von Art. 42 Abs. 1 KVG, dass die Versicherten den Leistungserbringern die Vergütung der Leistung schulden, weil Versicherer und Leistungserbringer nicht vereinbart haben, dass der Versicherer diese im System des Tiers payant direkt schuldet. Die Versicherten haben in diesem Fall gegenüber dem Versicherer einen Anspruch auf Rückerstattung (BGE 131 V 191 E. 5 S. 195). Die eine Voraussetzung für den Vertretungsanspruch der Beschwerdeführerin gegenüber der Wincare ist damit erfüllt. Zu prüfen bleibt, ob es sich bei der in Frage stehenden Streitigkeit um eine solche zwischen Versicherer und Leistungserbringer handelt, die nach Art. 89 Abs. 1 KVG die Zuständigkeit des kantonalen Schiedsgerichts begründet.</w:t>
      </w:r>
    </w:p>
    <w:p>
      <w:r>
        <w:rPr>
          <w:b/>
        </w:rPr>
        <w:t>E. 5.2</w:t>
      </w:r>
    </w:p>
    <w:p>
      <w:r>
        <w:t>Die Vorinstanz verneint das Vorliegen einer Streitigkeit zwischen Versicherer und Leistungserbringer hauptsächlich mit der Begründung, die Wincare sei ihren Zahlungspflichten nachgekommen, indem sie die der Beschwerdeführerin nach Pflegebedürftigkeitsgrad abgestuften Tagespauschalen gemäss vertraglicher Vereinbarung vergütet habe. Mit dieser Sichtweise verkennt das kantonale Gericht, dass es nicht seine, sondern eben gerade die Aufgabe des Schiedsgerichts nach Art. 89 KVG ist, darüber zu entscheiden, ob das APH X.________ korrekt Rechnung gestellt hat und der Versicherer die gesetzlichen und vertraglichen Leistungen im Zusammenhang mit dem Heimaufenthalt der Beschwerdeführerin erbracht hat, was in der Verwaltungsgerichtsbeschwerde insoweit in Frage gestellt wird, als die Versicherte geltend macht, dem Heim zu hohe Pflegebeiträge bezahlt zu haben; dafür stehe ihr ein Rückforderungsanspruch zu, wobei die Wincare sie im entsprechenden Schiedsgerichtsverfahren gegen das Heim zu vertreten habe. Zwar erscheint es auf den ersten Blick fraglich, ob unter den dargelegten Umständen von einer Streitigkeit zwischen Versicherer und Leistungserbringer gesprochen werden kann, handelt es sich vordergründig doch um einen (streitigen) Anspruch der Versicherten gegen das APH X.________. Eine solche Betrachtungsweise würde indessen dem System des Tiers garant nicht gerecht, bei welchem das Schiedsgerichtsverfahren mit Vertretung der versicherten Person durch den Krankenversicherer nach Art. 89 Abs. 1 und 3 KVG gilt. Dass zunächst die versicherte Person dem Leistungserbringer die Vergütung schuldet (E. 5.1 hievor), ist eben gerade Voraussetzung für den Vertretungsanspruch und kann nicht als Argument für die Auffassung verwendet werden, die Versicherte habe keinen Anspruch auf Vertretung durch die Wincare. Im vorliegenden Fall ist eine Rückerstattung von angeblich überhöhten Pflegetaxen durch das APH X.________ streitig, welche dieses nach Auffassung der Beschwerdeführerin in Verletzung der tarifvertraglichen Abmachungen in Rechnung gestellt hat. In diesem Streit stehen sich Krankenversicherer und Leistungserbringer gegenüber, stellt sich doch die Frage, ob das APH X.________ entsprechend der Behauptung der Beschwerdeführerin den Tarifschutz verletzt hat, wonach die Leistungsgerbringer sich an die vertraglich oder behördlich festgelegten Tarife und Preise halten müssen und für Leistungen nach diesem Gesetz keine weitergehenden Vergütungen berechnen dürfen (Art. 44 Abs. 1 KVG). Dies wiederum betrifft die Wincare als Tiers garant, auch wenn die Versicherte die Vergütung geschuldet hat.</w:t>
      </w:r>
    </w:p>
    <w:p>
      <w:r>
        <w:rPr>
          <w:b/>
        </w:rPr>
        <w:t>E. 5.3</w:t>
      </w:r>
    </w:p>
    <w:p>
      <w:r>
        <w:t>Somit ergibt sich, dass die kumulativ erforderlichen Voraussetzungen für eine Vertretung der Beschwerdeführerin durch die Wincare im Verfahren vor dem kantonalen Schiedsgericht gemäss Art. 89 Abs. 3 KVG erfüllt sind.” (sottolineatura del redattore) In una recente sentenza 9C_687/2010 del 30 dicembre 2010, il Tribunale federale, in un caso relativo ad una controversia simile a quella in esame, circa l’applicazione di una posizione del TarMed, ha stabilito che competente per decidere nel merito della vertenza è il Tribunale arbitrale e non il Tribunale delle assicurazioni. In quel caso l’Alta Corte è stata chiamata a statuire su un ricorso dell’assicuratore che contestava una sentenza del Tribunale cantonale delle assicurazioni del Canton Zurigo, il quale, entrando nel merito dell’impugnativa, aveva esaminato se la Cassa malati doveva assumersi tutte le posizioni figuranti nella nota d’onorario. Dai fatti emerge che l’assicurata si era sottoposta ad una visita presso uno specialista FMH in ortopedia. L’assicuratore, dopo aver esaminato nel dettaglio la nota d’onorario, aveva negato all’interessata il rimborso dell’importo complessivo di fr. 1'293.45, riconoscendole unicamente fr. 523.85. La Cassa aveva evidenziato la non conformità della nota d’onorario con il tariffario vigente, rilevando di aver già informato in passato lo specialista circa il fatto che il suo studio medico non emetteva onorari corretti. Dopo essersi rivolta invano all’Ombudsman delle assicurazioni sociali e sentendosi abbandonata, l’assicurata ha chiesto alla Cassa l’emanazione di una decisione formale. L’assicuratore ha emesso la decisione richiesta, spiegando che potevano essere riconosciute solo le posizioni TarMed per un totale di fr. 523.85 in luogo dei fr. 1'293.45 fatturati. Il ricorso contro la successiva decisione su opposizione è stato parzialmente accolto dal Tribunale delle assicurazioni del Canton Zurigo il quale ha condannato l’assicuratore a versare un importo supplementare di fr. 266.50. Il TF, adito dall’assicuratore, ha annullato la pronunzia cantonale e la decisione impugnata ed ha imposto alla Cassa di rappresentare l’assicurata innanzi al Tribunale arbitrale nella controversia contro il medico specialista. Questa soluzione s’impone anche nella presente procedura. In concreto si tratta infatti di una contestazione in merito all’applicazione di una tariffa tra assicuratore e fornitore di prestazioni (cfr. Eugster, Bundesgesetz über die Krankenversicherung, 2010, S. 544, n. 10-13), dove trova applicazione il sistema del terzo garante, poiché l’assicurata è debitrice della remunerazione nei confronti del fornitore di prestazioni. In questo caso l’assicurata ha diritto di essere rimborsata dal suo assicuratore (art. 42 cpv. 1 LPGA). Dagli atti (corrispondenza, decisione, decisione su opposizione) risulta come in realtà nel caso concreto le parti sono il fornitore di prestazioni (Prof. Dr. med. __________) e l’assicuratore (CO 1) e come la controversia concerne principalmente l’applicazione di una posizione del tariffario Tarmed (23.0440). Ciò è stato rilevato anche dalla ricorrente, in sede di osservazioni, il 29 dicembre 2010, laddove afferma di trovarsi “ inconsapevolmente coinvolta in un dissidio tra terzi (medico curante e assicuratore malattia) senza aver preliminarmente avuto alcuna possibilità di dubitare circa la portata della copertura rispettivamente della bontà ed economicità delle cure prospettatele (…) ” (doc. XXV). L’assicuratore, invece di emanare una decisione formale tramite la quale ha rifiutato il rimborso di parte della nota d’onorario del Prof. dr. med. __________ per le prestazioni fornite il 24 agosto 2007, poiché non ritenuta conforme al tariffario TarMed, avrebbe dovuto rappresentare l’insorgente davanti al Tribunale arbitrale contro il fornitore di prestazioni. La rappresentanza dell’assicurato da parte dell’assicuratore è una particolarità della LAMal dovuta al fatto che nel sistema del terzo garante la persona assicurata deve beneficiare della protezione tariffale assoluta. Nel caso in cui il medico ha fatturato in maniera contraria al tariffario o ha violato delle norme del tariffario, le conseguenze non devono essere sopportate dall’assicurato, bensì dal fornitore di prestazioni (sentenza 9C_687/2010 del 30 dicembre 2010, consid. 4). Nel sistema del terzo garante l’assicuratore deve rappresentare l’assicurato innanzi al Tribunale arbitrale contro il fornitore di prestazioni quando l’oggetto del contendere è una fatturazione troppo elevata. E’ in questo modo che l’assicuratore deve mettere in atto la protezione tariffale (sentenza 9C_687/2010 del 30 dicembre 2010, sentenza K 129/06 del 29 giugno 2007, consid. 4.3 e 5). Per l’art. 27 cpv. 1 LPGA gli assicuratori e gli organi esecutivi delle singole assicurazioni sociali, nei limiti delle loro competenze, sono tenuti ad informare le persone interessate sui loro diritti e obblighi. In concreto l’assicurata non era cosciente del diritto garantito dalla LAMal di essere rappresentata innanzi ad un Tribunale arbitrale. Inoltre spettava all’assicuratore informare l’interessata ed assumerne la rappresentanza innanzi al Tribunale arbitrale (sentenza 9C_687/2010 del 30 dicembre 2010, consid. 5). In queste condizioni, rammentato che il TCA applica il diritto d’ufficio e rilevato che l’amministrazione ha emanato a torto la decisione impugnata, il ricorso va accolto e la decisione su opposizione del 1° febbraio 2010 va annullata. CO 1 dovrà rappresentare la ricorrente innanzi al Tribunale arbitrale, nella controversia contro il Prof. dr. med. __________ per la fattura emanata il 29 novembre 2007 per le prestazioni effettuate il 24 agosto 2007 (doc. 6). In queste condizioni le richieste di assunzioni di nuove prove o la chiamata in causa del Prof. Dr. med. __________ diventano prive di oggetto. All’insorgente, vincente in causa, vanno assegnate le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