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36.2010.104 vom 24. Februar 2011</w:t>
      </w:r>
    </w:p>
    <w:p>
      <w:r>
        <w:t>TI Tribunale d'appello, 2011-02-24, IT</w:t>
      </w:r>
    </w:p>
    <w:p>
      <w:r>
        <w:rPr>
          <w:b/>
        </w:rPr>
        <w:t xml:space="preserve">Quelle: </w:t>
      </w:r>
      <w:r>
        <w:t>https://mcp.opencaselaw.ch/entscheid/ti_gerichte_36.2010.104</w:t>
      </w:r>
    </w:p>
    <w:p>
      <w:r>
        <w:t>FR: TI_GERICHTE 36.2010.104 du 24 février 2011</w:t>
      </w:r>
    </w:p>
    <w:p>
      <w:r>
        <w:t>IT: TI_GERICHTE 36.2010.104 del 24 febbraio 2011</w:t>
      </w:r>
    </w:p>
    <w:p>
      <w:pPr>
        <w:pStyle w:val="Heading2"/>
      </w:pPr>
      <w:r>
        <w:t>Regeste</w:t>
      </w:r>
    </w:p>
    <w:p>
      <w:r>
        <w:t>Richiesta di rimborso di tutti i danni sorti dall'infortunio ai denti del 2006. Termine di prescrizione. Non ci sono atti interruttivi della prescrizione, perciò la pretesa è prescritta. La fattura per l'estrazione dei denti del giudizio va esaminata ex LAMal.Trasmissione atti a Cassa malati x esame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LSA, i tribunali svizzeri devono trasmettere gratuitamente all'autorità di sorveglianza una copia di tutte le sentenze concernenti disposizioni del diritto in materia di contratto d'assicurazione; s'impone perciò di notificare all'autorità di sorveglianza anche la presente sentenza in forma elettronica e senza il nominativo dell'attore.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