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36.2009.110 vom 10. August 2009</w:t>
      </w:r>
    </w:p>
    <w:p>
      <w:r>
        <w:t>TI Tribunale d'appello, 2009-08-10, IT</w:t>
      </w:r>
    </w:p>
    <w:p>
      <w:r>
        <w:rPr>
          <w:b/>
        </w:rPr>
        <w:t xml:space="preserve">Quelle: </w:t>
      </w:r>
      <w:r>
        <w:t>https://mcp.opencaselaw.ch/entscheid/ti_gerichte_36.2009.110</w:t>
      </w:r>
    </w:p>
    <w:p>
      <w:r>
        <w:t>FR: TI_GERICHTE 36.2009.110 du 10 août 2009</w:t>
      </w:r>
    </w:p>
    <w:p>
      <w:r>
        <w:t>IT: TI_GERICHTE 36.2009.110 del 10 agosto 2009</w:t>
      </w:r>
    </w:p>
    <w:p>
      <w:pPr>
        <w:pStyle w:val="Heading2"/>
      </w:pPr>
      <w:r>
        <w:t>Regeste</w:t>
      </w:r>
    </w:p>
    <w:p>
      <w:r>
        <w:t>Domanda di sussidio 2009 respinta per il superamento dei limiti della tassazione 2006. Non si può far capo ad altro periodo fiscale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organica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   Il ricorso, tempestivo siccome inoltrato nei 30 giorni dall'intimazione della decisione emessa su opposizione, è ricevibile siccome sufficientemente motivato e le conclusioni appaiono chiaramente desumibili. nel merito 3.   Conformemente a quanto disposto dall'art. 23 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Fr. 32'000.- e delle persone sole il cui reddito non supera i Fr. 20'000.-. Di regola, il reddito determinante risulta, secondo l'art. 30 LCAMal, dalla somma arrotondata al mille franchi superiore: a)  del reddito imponibile desunto dal periodo fiscale stabilito dal Consiglio di Stato; b)  di un quindicesimo della sostanza imponibile desunta dal periodo fiscale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l'anno 2009 , il Consiglio di Stato ha definito con Decreto Esecutivo del 14 ottobre 2008 (pubblicato nel Bollettino Ufficiale 51/2008 del 17 ottobre 2008) le basi di calcolo per il diritto alla riduzione del premio LAMal. Da un canto ha fissato il periodo fiscale per l'accertamento del reddito determinante, che corrisponde alle classificazioni dell'imposta cantonale per l'anno 2006; d'altro canto, ha precisato che occorre tenere conto della quota media cantonale ponderata fissata da questo Decreto esecutivo, così pure di altri parametri di calcolo contemplati dagli artt. 29-32, 35-38, 44-46 e 48 LCAMal. 4.   L'amministrazione fa quindi di principio capo ai dati fiscali determinati in virtù della tassazione di riferimento (ossia quella del periodo indicato dall'esecutivo cantonale nel DE emesso annualmente). In casi specificatamente fissati dalla legge e dal regolamento d'applicazione (qui sotto riportati) deve scostarsi da tali dati per un accertamento autonomo e deve calcolare da sola il reddito determinante. Infatti, con l'art. 31 LCAMal il legislatore ticinese ha riservato l'accertamento del reddito determinante in maniera autonoma da parte dell'amministrazione (e meglio l'Ufficio dell'Assicurazione Malattia), che dovrà procedere con la trasformazione delle entrate lorde a partire da tabelle ufficiali di conversione appositamente allestite e verificare il sussistere dei limiti per la concessione del diritto alla riduzione dei premi LAMal (art. 17 cpv. 2 RLCAMal ed art. 36 RLCAMal). L'art. 31 LCAMal prevede quindi che il regolamento stabilisce le modalità per il calcolo autonomo del reddito determinante: "a)   delle persone soggette all'imposta cantonale solo per una parte del loro reddito o della loro sostanza; b)   delle persone soggette all'imposta alla fonte; c)   delle persone sole con reddito imponibile nullo o totale dei redditi registrati nella tassazione applicabile inferiore a fr. 6'000.-, che esercitano un'attività lucrativa; d)   in altri casi particolari.". Così, in virtù dell'art. 31 RLCAMal, il reddito determinante va accertato autonomamente dall'Istituto delle assicurazioni sociali in particolare, nei seguenti casi: "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o)   diminuzione importante dei valori di sostanza desunti dalla tassazione applicabile, nel caso in cui sia comprovato, e giustificato, l'utilizzo della sostanza per necessità primarie proprie. In questo caso la riduzione di premio è decisa in considerazione dei parametri di sostanza riportati nell'ultima tassazione cresciuta in giudicato al momento dell'istanza.". 5.   In concreto per la determinazione del diritto al sussidio 2009 occorre fare riferimento alla decisione di tassazione (imposta cantonale) 2006. La decisione di tassazione 2006 di RI 1 presenta un imponibile IC superiore a CHF 32'000.-- e quindi ampio superamento dei limiti per la concessione dell’aiuto sociale. Come ha correttamente ricordato l’UAM nelle osservazioni 17 giugno 2009 non è possibile – come chiede la ricorrente – fare capo ad una decisione di tassazione riferita ad un periodo diverso rispetto a quello voluto dal Consiglio di Stato sulla base del decreto annualmente emesso in base all’art. 49 LCAMal. L’esecutivo cantonale deve infatti, ogni anno, determinare le basi di calcolo del sussidio, in particolare fissando “il periodo fiscale per l’accertamento del reddito e della sostanza imponibile”. Per l’anno 2009 il periodo fiscale determinante è il 2006. Una tassazione emessa per altro periodo non può essere utilizzata, anche se più favorevole alla persona interessata, in virtù del necessario rispetto della legge. L’art. 49 LCAMal fonda una sufficiente, chiara ed adeguata base legale per questa determinazione. Violerebbe il principio di legalità e quello della parità di trattamento l’amministrazione od il giudice che ritenesse una tassazione diversa da quella determinata dal Consiglio di Stato. In effetti tutti i richiedenti il sussidio dovrebbero essere trattati in maniera uguale ed il loro reddito valutato sulla scorta del medesimo parametro (cfr. anche sentenza 11 ottobre 2004 in re E., inc. 36 2004.112). In caso di modifica, e meglio di diminuzione, dei redditi – come invocato in concreto – il giudice non è libero di scegliere altro periodo fiscale per la determinazione del diritto al sussidio, ma deve procedere – come impone l’art. 31 LCAMal – ad un accertamento del reddito determinante secondo precise modalità imposte dal Regolamento d’applicazione della Legge (RegLCAMal). In casu la richiesta di RI 1 di applicare la decisione di tassazione IC 2007 non può essere seguita. 6.   Il Tribunale Cantonale delle Assicurazioni deve quindi verificare se, nel caso in esame, sono dati i presupposti di cui all’art. 31 litt. m. RegLCAMal. Come risulta dalla documentazione prodotta dai collaboratori dell’UAM – il cui agire puntuale, corretto e professionale va apprezzato e lodato – RI 1 – da settembre 2008 – svolge attività di docente con (dal gennaio 2009) un salario di CHF 4'708,25 lordi ossia CHF 4'013,80 netti con diritto alla tredicesima. Il reddito annuo netto è di CHF 52'179,40. Questa somma è inferiore (anche se di poco) al reddito netto da attività dipendente conseguita dalla ricorrente ed esposto nella tassazione 2006 (CHF 52'466.--). Sono dati, in concreto, gli estremi per la determinazione del reddito in maniera autonoma da parte dell’amministrazione.</w:t>
      </w:r>
    </w:p>
    <w:p>
      <w:r>
        <w:rPr>
          <w:b/>
        </w:rPr>
        <w:t>E. 2.2</w:t>
      </w:r>
    </w:p>
    <w:p>
      <w:r>
        <w:t>(…)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w:t>
      </w:r>
    </w:p>
    <w:p>
      <w:r>
        <w:rPr>
          <w:b/>
        </w:rPr>
        <w:t>E. 2.5</w:t>
      </w:r>
    </w:p>
    <w:p>
      <w:r>
        <w:t>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quando sia accertata l’esistenza di uno dei motivi di cui all’art. 67 vReg. LCAMal (= art. 31 nReg.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convertito in reddito imponibile ipotetico mediante apposite tabelle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le uniche deduzioni ammesse essendo quelle relative agli alimenti ed agli interessi su debiti ipotecari. In particolare nelle sentenze del 26 gennaio 2004, inc. 36.2003.99/112 e inc. 36.2003.116 è stata negata la possibilità di dedurre spese di doppia economia domestica e di trasporto, anche se normalmente riconosciute a livello fiscale. Nella sentenza di cui all’inc. 36.2004.33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del 3 settembre 2004 (inc. 36.2004.93) in cui era ricorrente un divorziato al quale l’amministrazione aveva calcolato il reddito lordo per la successiva conversione. Con sentenza del 19 ottobre 2004 (inc.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del 14 settembre 2005 (inc. 36.2005.70), del 21 settembre 2005 (inc. 36.2005.94-95), del 27 settembre 2005 (inc. 36.2005.99), del 24 ottobre 2005 (inc. 36.2005.117) e nella sentenza a composizione completa del Tribunale del 30 novembre 2005 (inc. 36.2005.66-67). A proposito del valore locativo, nella determinazione del reddito da convertire a mano delle apposite tabelle, occorre qui riprendere i concetti espressi a più riprese da questo Tribunale e rammentati nella sentenza del 25 maggio 2009 (in re Z. 36.2009.68): " A giustia ragione l’UAM ha aggiunto l’importo di … pari al valore locativo e di fr. 200.--, derivante dal reddito di titoli e capitali …, essendo gli ultimi importiconosciuti che l’amministrazione ha ripreso dall’ultima tassazione fiscale …" (cfr. la sentenza del 17 novembre 2008, inc. 36.2008.79). Il ricorrente contesta la presa a carico del valore locativo. A torto. Infatti, il TCA ha più volte ricordato che questa posta deve essere presa in considerazione nel calcolo del reddito determinante. Con sentenza del 25 aprile 2008 (inc. 36.2007.183), questo Tribunale ha infatti affermato (cfr. anche, da ultimo, la sentenza del 17 novembre 2008, inc. 36.2008.79): “ In merito al tema del valore locativo di un immobile, da considerarsi nell’ambito del calcolo autonomo del reddito da parte dell’amministrazione per la determinazione del diritto al sussidio o meno, questo Tribunale (sentenza 19 aprile 2007 inc. 36.2007.2) ha evidenziato: Il tema …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Come rammenta la sentenza cantonale citata: " Il riferimento alle condiz io ni locali usuali sta a significare che determinante per l’IFD rimane il valore di mercato reperibile, che deve essere stabilito in via comparativa tenendo conto anche delle vecchie abitaz io ni e quindi non necessariamente il canone di locaz io ne massimo conseguibile ( Agner/Jung/Steinmann , Kommentar zum Gesetz über die direkte Bundessteuer, p. 92; v. anche DTF 124 I 152 = ASA 68 p. 773 = StE 1998 A 23.1 n. 1; DTF 123 II 15 = ASA 66 p. 563 = RF 52/1998 p. 190 = StE 1997 A 21.11 n. 41). Il Tribunale federale ha stabilito che l’Amministraz io ne federale delle contribuz io ni ha il dovere di intervenire nella sua qualità di autorità di sorveglianza in materia di imposta federale diretta quando in un cantone i valori locativi scendono al di sotto della soglia del 70% del valore di mercato (Tribunale federale, 13 febbra io 1998, in RF 1998 p. 655 = ASA 67 p. 709). Il riferimento all’utilizzaz io ne effettiva, dal canto suo, va inteso unicamente quale limitaz io ne spaziale ma non temporale dell’uso dell’immobile da parte del proprietar io . Con ciò il Legislatore federale ha voluto venire incontro a determinate situaz io ni, segnatamente a quelle di coniugi o vedovi, che, una volta allevati i figli, si ritrovano a vivere in abitaz io ni divenute troppo grandi, perché rispondenti alle esigenze di una famiglia numerosa. La prova della sottoutilizzaz io ne dell’abitaz io ne spetta al contribuente. Il Legislatore con il riferimento all’utilizzaz io ne effettiva dell’abitaz io ne non ha invece minimamente voluto venire incontro a chi, per rag io ni proprie, occupa la propria abitaz io ne, in particolare quella secondaria, solo durante determinati per io di dell’anno ( Agner/Jung/Steinmann , op. cit., p. 93). (…)" La legge federale sull’armonizzaz io ne delle imposte dirette dei cantoni e dei comuni obbliga i cantoni ad assoggettare all’imposta sul reddito il valore locativo (in virtù del combinati disposti dell’art. 2 cpv. 1 lett. a e dell’art. 7 cpv. 1 LAID), pur non contenendo disposiz io ni relative alle modalità di accertamento del valore locativo e lasciando con ciò una certa qual latitudine ai Cantoni. In relaz io ne alla quest io 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(RtiD I 2007 N. 2t pag. 591 e segg.): " L’Alta Corte ha stabilito che il valore locativo può essere infer io re al valore di mercato (DTF 124 I 145, consid. 4d p. 156), ma che tuttavia in ogni caso il 60% del valore di mercato rappresenta il limite infer io re che è ancora conforme al princip io costituz io nale dell’uguaglianza (art. 8 cpv. 1 Cost. fed.). In seguito (DTF 125 I 65) ha ammesso che le disposiz io ni della legge tributaria turgoviese, secondo cui dal valore locativo – accertato caso per caso – deve essere effettuata una deduz io ne del 40%, possono essere applicate in modo conforme alla Costituz io ne e comunque non conducono necessariamente a risultati incostituz io nali (nello stesso senso, si è pronunciata anche in relaz io ne ad analoghe normative dei Cantoni Soletta [n. 2P.36/1999 del 3 novembre 2000] e Zurigo [2P.311/2001 del 5 aprile 2002]). (…)." Nel nostro diritto cantonale il capoverso 2 dell’art. 20 LT prevede che il valore locativo, tenuto conto della promoz io ne dell’accesso alla proprietà e della previdenza personale, sia stabilito al 60-70 per cento del valore di mercato delle pig io 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 io ne di ammortamenti accelerati per nuovi investimenti (paragrafo B.I.8.). Come rammenta ancora la sentenza cantonale citata: " il legislatore ticinese ha codificato il princip io secondo cui il valore locativo deve essere infer io re al valore di mercato (purché resti però fra il 60% e il 70%). Nel contempo, ha riaffermato che il calcolo deve avvenire applicando delle percentuali di convers io ne – differenziate a seconda della vetustà della stima – al valore di stima ufficiale. A tal fine, la circolare n. 15 del genna io 2006 della Divis io ne delle contribuz io ni stabilisce che il valore locativo di abitaz io ni unifamiliari e plurifamiliari, di appartamenti in condomin io e di case a schiera verrà stabilito in base ai seguenti criteri: per le abitaz io ni il cui valore locativo è già stato imposto negli anni precedenti viene riconfermato il valore locativo precedentemente tassato; per le nuove abitaz io ni monofamiliari, sempre che non ci siano altri elementi utili alla sua determinaz io ne, il valore locativo da tassare corrisponde, di regola, al 95% del valore di reddito determinato dall’Uffic io di stima nell’ambito della decis io ne riguardante la stima ufficiale (questo valore risulta dalla scheda di calcolo della stima allegata alla decis io ne sulla stima). In caso di manifesta divergenza tra il valore locativo dichiarato e il valore di reddito determinato dall’Uffic io di stima occorrerà operare le opportune correz io ni atte a conseguire un valore locativo tassato che si situi entro i limiti del 60-70% del valore med io delle pig io ni di mercato per abitaz io ni dello stesso genere. In questi casi il valore locativo è determinato tenendo equamente conto del valore d’uso, del livello degli affitti pagati nella zona o ricorrendo a norme particolari (es. applicando una data quota per locale o per mq abitabile). Ne consegue che per le abitaz io ni il cui valore locativo era già imposto prima del per io do fiscale 2005 si applicano le percentuali seguenti al valore si stima ufficiale in vigore fino al 31 dicembre 2004: - 5%, se la stima è entrata in vigore fra il 1° genna io 1991 e il 31 dicembre 2004; - 6,5%, se la stima è entrata in vigore negli anni precedenti. Nei comuni con revis io ne generale delle stime entrata in vigore dal 1° genna 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 io , l’uguaglianza di trattamento non impedisce di procedere secondo parametri schematici. Si dovrà invece ricorrere a valutaz io ni individualizzate, per non ledere il princip 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 io ne delle contribuz io ni, secondo cui il valore locativo deve essere imposto sulla base di quello già tassato in precedenza. Il valore locativo del proprio immobile, soggetto alla percezione delle imposte sul reddito come descritto nelle considerazioni precedenti, deve essere considerato nell'ambito dei redditi da commutare. Il testo dell'art. 69, cui rinvia l'art. 71 RLCAMal è, al proposito, esplicito e tende a ritenere anche il "reddito netto della sostanza" che, per gli immobili, è costituito dalle pigioni o dagli affitti e, quando la sostanza immobiliare è goduta personalmente dall'assicurato, del valore locativo. Come indicato quindi nell’ambito della determinazione del reddito lordo, che va successivamente commutato a mano delle apposite tabelle, l’amministrazione deve considerare anche il reddito derivante dal valore locativo, reddito che rispetta comunque criteri prudenziali (siccome fissato nel 60 – 70 % del valor di mercato delle pigioni). Questo principio è stato in particolare espresso e ritenuto dal TCA nella sua composizione a 3 giudici nella sentenza 28 febbraio 2008 (Inc. 36.2007.172). Come rileva l’UAM in sede di osservazioni e come indicato, secondo costante giurisprudenza di questo Tribunale le uniche deduzioni dal reddito lordo ammesse sono quelle relative agli alimenti ed agli interessi passivi, altre deduzioni non possono essere considerate (cfr. consid. 4). Del resto le tabelle di conver-sione applicate in concreto ed elaborate dall’Amministrazione delle contribuzioni, sono allestite al fine di corrispondere in ma-niera più conforme possibile ad una tassazione ordinaria, pur con tutti i limiti del caso. Infatti le tabelle di conversione consi-derano le normali deduzioni dal reddito lordo per la fissazione del reddito (ipotetico) imponibile, pur non potendo essere, per la loro stessa natura, attagliate al caso concreto in cui vengono applicate (cfr. sentenza del 14 marzo 2007, inc. 36.2006.250, cfr. anche sentenza del 26 gennaio 2004, 36.2003.99). 8.   Alla luce di quanto precede l’UAM ha calcolato in maniera corretta – ciò che la ricorrente non ha posto in discussione – il reddito da ultimo percepito. Come indicato al punto 6 il reddito mensile di RI 1 è, lordo, di CHF 4'708,25 percepito 13 volte. Riportato su 12 mensilità il reddito lordo è di CHF 5'100,60 (4'708,25 x 13:12) che – convertito a mano delle tabelle dà un reddito di CHF 47'397.-- – cui va aggiunto il reddito da titoli (CHF 51.--) e dal quale vanno dedotti gli oneri per interessi passivi (CHF 491,55 come indicato nella decisione impugnata). L’importo dovuto, arrotondato come impone la legge al mille franchi superiore, è di CHF 47'000.--, superiore ai limiti per la concessione del sussidio 2009. 9.   Alla luce di quanto precede il ricorso va respinto. L’argomentazione addotta dalla ricorrente relativa al suo stato di salute non può essere recepita in questa sede in difetto di rilevanza legale. Non si percepiscono tasse e spese e non si attribuiscono ripetibili.</w:t>
      </w:r>
    </w:p>
    <w:p>
      <w:r>
        <w:rPr>
          <w:b/>
        </w:rPr>
        <w:t>E. 7</w:t>
      </w:r>
    </w:p>
    <w:p>
      <w:r>
        <w:t>Il TCA ha emanato diverse sentenze sull'accertamento autonomo del reddito (v.: sentenza del 27 novembre 2003, inc. 36.2003.84; sentenze del 26 gennaio 2004, inc. 36.2003.99/112 e inc. 36.2003.116; sentenze del 24 giugno 2005, inc. 36.2004.132; sentenza del 3 settembre 2004, inc. 36.2004.92; sentenza del 15 febbraio 2006, inc. 36.2006.7) e si è così espresso: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