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36.2007.90 vom 17. Juli 2007</w:t>
      </w:r>
    </w:p>
    <w:p>
      <w:r>
        <w:t>TI Tribunale d'appello, 2007-07-17, IT</w:t>
      </w:r>
    </w:p>
    <w:p>
      <w:r>
        <w:rPr>
          <w:b/>
        </w:rPr>
        <w:t xml:space="preserve">Quelle: </w:t>
      </w:r>
      <w:r>
        <w:t>https://mcp.opencaselaw.ch/entscheid/ti_gerichte_36.2007.90</w:t>
      </w:r>
    </w:p>
    <w:p>
      <w:r>
        <w:t>FR: TI_GERICHTE 36.2007.90 du 17 juillet 2007</w:t>
      </w:r>
    </w:p>
    <w:p>
      <w:r>
        <w:t>IT: TI_GERICHTE 36.2007.90 del 17 luglio 2007</w:t>
      </w:r>
    </w:p>
    <w:p>
      <w:pPr>
        <w:pStyle w:val="Heading2"/>
      </w:pPr>
      <w:r>
        <w:t>Regeste</w:t>
      </w:r>
    </w:p>
    <w:p>
      <w:r>
        <w:t>Gravidanza extra uterina. Il trattamento non può essere considerato come prestazione di maternità, bensì malattia.</w:t>
      </w:r>
    </w:p>
    <w:p>
      <w:pPr>
        <w:pStyle w:val="Heading2"/>
      </w:pPr>
      <w:r>
        <w:t>Erwägungen</w:t>
      </w:r>
    </w:p>
    <w:p>
      <w:r>
        <w:rPr>
          <w:b/>
        </w:rPr>
        <w:t>E. 1</w:t>
      </w:r>
    </w:p>
    <w:p>
      <w:r>
        <w:t>LAMal infatti all'assicurazione malattia, sempre che nella LAMal non siano contenute norme specifiche di deroga, si applicano le disposizioni della LPGA. A norma dell’art. 29 cpv. 1 LAMal oltre i costi delle prestazioni in caso di malattia, l’assicurazione obbligatoria delle cure medico-sanitarie assume quelli delle prestazioni specifiche di maternità. Per il cpv. 2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Per l’art. 13 Opre prevede la presa a carico di esami di controllo. L'art. 14 regola invece il contributo per un corso di preparazione al parto mentre l'art. 15 il tema della consulenza per l'allattamento e l'art. 16 le prestazioni delle levatrici. 4.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Kieser, in ATSG-Kommentar, Basilea-Zurigo-Ginevra 2003, n. 8 seg. ad art. 5, pag. 77 seg., a proposito della differenza tra maternità e malattia, afferma: " b) Auszugehen ist davon, dass die komplikationslos verlaufende Mutterschaft nicht als Krankheit betrachtet wird (vgl. BGE 112 V 304; Duc, Les assurances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94 V 194); - Spitalpflege wegen Gefahr einer Früh- oder Fehlgeburt (vgl. Eugster, Krankenversicherung, Rz. 343); - Fehlgeburt (vgl. RKUV 1988 323; Eugster, Krankenversicherung, Rz. 345, Fn. 847)." In una sentenza pubblicata in DTF 127 V 268 (sentenza citata da entrambe le parti e che la ricorrente sembra ben conoscere), in merito alla questione a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In un’altra sentenza del 16 giugno 2004, pubblicata in RAMI 2004 pag. 383, il TFA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Come rammentato anche in sede di ricorso il 6 ottobre 2005 (n. 05.3589) la consigliera nazionale Chantal Galladé ha presentato una mozione con le seguenti motivazioni: " L'articolo 64 capoverso 7 della legge federale sull'assicurazione malattie (LAMal) deve essere formulato nel modo seguente. Per le prestazioni di maternità l'assicuratore non può riscuotere alcuna partecipazione ai costi. Sono considerate prestazioni in caso di maternità: a. le prestazioni garantite in caso di malattia; b. le prestazioni specifiche elencate all'articolo 29 capoverso 2. Motivazione Esonerando le future madri dalla partecipazione ai costi per la gravidanza e il parto, il vecchio diritto voleva sgravarle sul piano dei costi e garantire così alle famiglie una protezione a livello finanziario. In questo modo s’intendeva proteggere le donne e i nascituri. 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 È noto alle parti che il Consiglio federale il 9 dicembre 2005 ha proposto di accogliere la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w:t>
      </w:r>
    </w:p>
    <w:p>
      <w:r>
        <w:rPr>
          <w:b/>
        </w:rPr>
        <w:t>E. 2</w:t>
      </w:r>
    </w:p>
    <w:p>
      <w:r>
        <w:t>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Come rammentato nei due giudizi ticinesi evocati più sopra il Consiglio nazionale non ha ancora trattato questa mozione. In una recente sentenza del 3 novembre 2006 nella causa M., K 101/06, il TFA ha confermato la sua giurisprudenza accogliendo il ricorso di una Cassa malati che ha chiesto ad un’assicurata il pagamento di fr. 162.60 per il medicamento Rhophylac, destinato alla profilassi prenatale in caso di possibile incompatibilità del fattore rhesus tra mamma e bambino. L’Alta Corte, a proposito della citata DTF 127 V 268, ha in particolare sottolineato che: "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w:t>
      </w:r>
    </w:p>
    <w:p>
      <w:r>
        <w:rPr>
          <w:b/>
        </w:rPr>
        <w:t>E. 4.1</w:t>
      </w:r>
    </w:p>
    <w:p>
      <w:r>
        <w:t>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w:t>
      </w:r>
    </w:p>
    <w:p>
      <w:r>
        <w:rPr>
          <w:b/>
        </w:rPr>
        <w:t>E. 4.2</w:t>
      </w:r>
    </w:p>
    <w:p>
      <w:r>
        <w:t>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Bundesverwaltungsrecht [SBVR], Soziale Sicherheit, 1998, p. 187 sv., ch. 344). Cette question a toutefois été tranchée entre temps de manière négative dans l'arrêt ATF 127 V 268.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5.   Va ancora evidenziato come nella sentenza 1° febbraio 2007 (36.2007.175) questo Tribunale ha ritenuto che un raschiamento per ritenzione placentare successivo alla nascita non potesse essere considerato come rientrante nella definizione di maternità ma nel concetto di malattia. Il TCA ha in particolare richiamato il rigore interpretativo dell'art. 29 cpv. 2 LAMal. Nella sentenza 26 febbraio 2007 (36.2007.19) il TCA aveva invece condiviso la valutazione dell'assicuratore che aveva ritenuto due ricoveri ospedalieri per la maturazione polmonare fetale di due gemelli quale intervento per malattia. In particolare nella sentenza 1° febbraio 2007, a proposito dell'asserita disparità di trattamento (in quel caso) tra interventi subiti al momento del parto ed interventi subiti successivamente questo TCA ha rilevato che il legislatore ha elencato in maniera vincolante, nell’art. 29 cpv. 2 LAMal, le prestazioni di maternità non soggette a prelievo di franchigia e partecipazione ai costi. In particolare mentre il parto e le misure mediche necessarie in quell’occasione (ad es. taglio cesareo), sono comprese nella prestazioni di maternità (cfr. Kieser, op. cit., n. 8 seg. ad art. 5, pag. 77 seg.), gli interventi effettuati successivamente ne sono esclusi. Le due situazioni sono differenti e giustificano un trattamento diverso. Del resto, trattandosi di una norma contenuta in una legge federale, né le autorità giudiziarie, né le autorità amministrative possono esaminarne la costituzionalità (art. 191 Cost. fed.; cfr. STFA del 1. luglio 2003 nella causa C., H 29/02, consid. 3.3; cfr. DTF 126 I 5 consid. 2e). 6.   Nel caso concreto la ricorrente, poco più che trentunenne, è rimasta incinta ma la gravidanza si è presentato problematica. Come rammenta la capo Clinica dell'__________ di __________ dott. __________ la signora RI 1 ha avuto una gravidanza extra-uterina nella tuba sinistra, diagnosticata il 15 dicembre 2006. La dott. __________ ha evidenziato come l'ovaio di sinistra mostrava un corpo luteo cistico. Alla signora RI 1 i medici curanti del __________ hanno somministrato "secondo protocollo la prima dose di Methotrexate" il 15 dicembre 2006 ed "una seconda dose …" il 22 dicembre 2006. I valori "del bHCG sono lentamente scesi fino ad essere inferiori a 2 U/I il 5 febbraio 2007, giorno in cui la paziente ha iniziato l'anticontezione con Meloden 21" . La capo Clinica ha quindi attestato, il 12 febbraio 2007, terminato il trattamento per la gravidanza extra-uterina. Alla luce di questi rilievi medici appare comprovato come la gravidanza che la ricorrente stava portando avanti - dopo una amenorrea (ossia in assenza di ciclo mestruale) "… di circa 6 + 6 sdg" - e diagnosticata extrauterina il 15 dicembre 2006 vada considerata patologia ai sensi della LAMal e non possa quindi rientrare nel concetto di cui all'art. 29 LAMal più sopra esposto. Alla luce di ciò i costi delle cure subiti dalla ricorrente non sono esenti dalla percezione della franchigia. Ciò anche se, per gli interventi intervenuti in sede parlamentare, sembra vieppiù concretizzarsi una volontà di, perlomeno, estendere il concetto di maternità  rendendolo più ampio. Il giudice deve ritenere la volontà del legislatore quando la stessa si trasforma in norma di legge avverso la quale sia possibile l'esercizio dei diritti democratici (referendum). Alla luce di quanto precede il ricorso va allora respinto senza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