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36.2007.64 vom 7. August 2007</w:t>
      </w:r>
    </w:p>
    <w:p>
      <w:r>
        <w:t>TI Tribunale d'appello, 2007-08-07, IT</w:t>
      </w:r>
    </w:p>
    <w:p>
      <w:r>
        <w:rPr>
          <w:b/>
        </w:rPr>
        <w:t xml:space="preserve">Quelle: </w:t>
      </w:r>
      <w:r>
        <w:t>https://mcp.opencaselaw.ch/entscheid/ti_gerichte_36.2007.64</w:t>
      </w:r>
    </w:p>
    <w:p>
      <w:r>
        <w:t>FR: TI_GERICHTE 36.2007.64 du 7 août 2007</w:t>
      </w:r>
    </w:p>
    <w:p>
      <w:r>
        <w:t>IT: TI_GERICHTE 36.2007.64 del 7 agosto 2007</w:t>
      </w:r>
    </w:p>
    <w:p>
      <w:pPr>
        <w:pStyle w:val="Heading2"/>
      </w:pPr>
      <w:r>
        <w:t>Regeste</w:t>
      </w:r>
    </w:p>
    <w:p>
      <w:r>
        <w:t>Domanda di sussidio. Diminuzione del reddito. Calcolo autonomo del reddito determinante da parte dell'UAM per la successiva conversione. Deduzioni ammesse.</w:t>
      </w:r>
    </w:p>
    <w:p>
      <w:pPr>
        <w:pStyle w:val="Heading2"/>
      </w:pPr>
      <w:r>
        <w:t>Erwägungen</w:t>
      </w:r>
    </w:p>
    <w:p>
      <w:r>
        <w:rPr>
          <w:b/>
        </w:rPr>
        <w:t>E. 31</w:t>
      </w:r>
    </w:p>
    <w:p>
      <w:r>
        <w:t>LCAMal. Per l'anno 2007 il Consiglio di Stato ha definito le basi di calcolo per il sussidio con il DE 14 novembre 2006 - che annulla e so­stituisce il DE 17 ottobre 2006 a seguito delle sentenze emanate da questo Tribunale nel corso dello scorso anno (STCA 36.2006.71, 72, 120, e 124). Il periodo fiscale per l'accertamento del reddito determinante è quello delle classificazioni dell'impo­sta cantonale per l'anno 2004. Il limite di reddito che conferisce diritto al sussidio per le persone sole è stato fissato a CHF 20'000.--, per i membri maggiorenni delle famiglie e 1° figlio a CHF 32'000.-- mentre il reddito di riferimento è stato fissato a CHF 50'000.--. Il limite di reddito massimo per il riconoscimento della riduzione di premio a figli di famiglie altrimenti non oggetto di riduzione di premio è stato fissato a CHF 60'000.-- (reddito della famiglia). 4.   Come indicato con l’art. 31 LCAMal il legislatore ticinese ha riser­vato l’accertamento del reddito determinante in maniera autonoma da parte dell’amministrazione (con successiva com­mutazione del reddito lordo accertato mediante l’utilizzo di ta­belle appositamente allestite il cui uso è obbligatorio) in casi par­ticolari caratterizzati dalla diminuzione delle entrate e non dall’aumento delle uscite, casi elencati dalla legge e precisati dal regolamento d’applicazione (qui sotto riportati). In altri termini, se date le condizioni di legge precisate nel regolamento l’amministrazione (e meglio l’Ufficio dell'Assicurazione Malattia) si scosta dai dati fiscali determinati in virtù della tassazione di ri­ferimento (ossia quella del periodo voluto dall’esecutivo canto­nale nel DE emesso annualmente) e procede a calcolare auto­nomamente il reddito lordo da ultimo acquisito dalla persona in­teressata, trasformandolo successivamente in reddito imponibile ipotetico mediante tabelle – attualizzate di anno in anno – appo­sitamente allestite dall’Istituto delle Assicurazioni Sociali d’intesa con la Direzione Cantonale delle Contribuzioni, verificando il sussistere dei limiti per la concessione del sussidio. La legge prevede il calcolo autonomo del reddito nei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dell’art. 67 del Regolamento della Legge cantonale sull’assicurazione obbligatoria contro le malattie emanato il 18 maggio 1994 (RLCAMal) e modificato dal Consiglio di Stato con decreto esecutivo del 27 ottobre 1999 avente valenza dal 1° gennaio 2000, il reddito determinante va accertato dall’Istituto delle assicurazioni sociali in maniera autonoma, “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m)diminuzione importante del reddito lordo rispetto al medesimo dato desumibile dai parametri fiscali applicabili." Da rilevare come, con modifica pubblicata sul BU del 16 marzo scorso no. 14/2007 a pagina 100, il RLCAMal ha subito alcune modifiche vigenti – retroattivamente – dal 1 gennaio 2007. In particolare l’art. 67 alle lettere d) ed m) è stato così modificato: "d) persone sole che esercitano un'attività lucrativa o conducono esi­stenza autonoma, con reddito imponibile nullo o totale dei redditi registrati nella tassazione applicabile inferiore a fr. 6'000.--, se­condo il periodo determinante; (…) m)                                  diminuzione importante del reddito netto da attività dipendente o in­dipendente, oppure del reddito da pensioni, rendite e assegni, ri­spetto al medesimo dato desumibile dai parametri fiscali applica­bili." Va rammentato che, a tenore dell’art. 48 RLCAMal, è data la possibilità alla persona interessata di ottenere la revisione di una decisione in materia di sussidio in caso si verifichino, nel corso dell'anno, le condizioni dell’art. 67 RLCAMal. In merito a quest'ultima norma va rammentato come la giurisprudenza di questo TCA (cfr. STCA 24 giugno 2005, 36.2004.132 in re M-F; 36.2004.92 in re M. del 3 settembre 2004 36.2003.99/112 in re S. a pag. 9/10; 36.2003.116 in re T. entrambe del 26 gennaio 2004) ha ritenuto: " …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RLCAMal - posti a raffronto con i dati ritenuti nella tassazione di riferimento dove necessario. …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RLCAMal) convertito in reddito imponibile mediante apposite ta­belle come rammenta l'art. 72 del medesimo regolamento. Le tabelle di conversione considerano le normali deduzioni dal reddito lordo per la fissazione del reddito (ipotetico) imponibile, pur non potendo essere, per la loro stessa natura, attanagliati al caso concreto in cui vengono applicate." La giurisprudenza di questo Tribunale ammette la possibilità di dedurre dal reddito lordo da convertire unicamente interessi pas­sivi debitamente comprovati ed alimenti versati in virtù di preciso obbligo. 5.   Quindi, come rammentato nella sentenza 26 gennaio 2004 (36.2003.116 nella causa T.), quando sia accertata l’esistenza di uno dei motivi di cui all’art. 67 RLCAMal, in particolare ciò av­viene più frequentemente in caso di accertamento di un nuovo reddito inferiore a quello del periodo di riferimento, l’UAM deve procedere alla esatta fissazione del nuovo reddito conseguito, e deve trattarsi del reddito lordo, che va poi raffrontato con i para­metri fissati dal Consiglio di Stato per la determinazione del di­ritto al sussidio. Per ciò fare è necessario procedere alla com­mutazione del nuovo reddito lordo accertato in reddito imponibile ipotetico mediante l’utilizzo di tabelle appositamente allestite. Infatti il reddito lordo accertato va obbligatoriamente (art. 52 cpv. 2 RLCAMal) convertito in reddito imponibile ipotetico mediante apposite tabelle, come rammenta l'art. 72 del medesimo regola­mento, allestite dall’amministrazione competente in materia di sussidi (UAM) ed in materia fiscale. Le tabelle di conversione considerano le normali deduzioni dal reddito lordo per la fissa­zione del reddito (ipotetico) imponibile, pur non potendo essere, per la loro stessa natura, attagliati al caso concreto in cui ven­gono applicate. Per quanto attiene alle possibili deduzioni dal reddito lordo accer­tato - come anticipato - questo Tribunale ha sviluppato una prassi piuttosto restrittiva negando la possibilità di deduzione al­tra che non siano alimenti versati ed interessi su debiti ipotecari. In particolare nelle sentenze 36.2003.99/112 nella causa S. e 36.2003.116 nella causa T. tutte del 26 gennaio 2004 è stata negata la possibilità di dedurre spese di doppia economia dome­stica e di trasporto, anche se normalmente riconosciute a livello fiscale. Nella sentenza 36.2004.33 nella causa S. il TCA ha am­messo, come d’altra parte aveva fatto l’amministrazione, la de­duzione per gli alimenti che l’assicurato era costretto a versare negando altre deduzioni. Per uno studente che effettuava paral­lelamente all’esercizio di attività remunerata un dottorato di ri­cerca presso un’università svizzera, non è stato ritenuto il rim­borso del debito per i prestiti di studio contratto con il Cantone e neppure le spese per la residenza secondaria e quelle di tra­sporto. Il concetto è stato ribadito ulteriormente nella sentenza 36.2004.93 nella causa D. del 3 settembre 2004 in cui era ricor­rente un divorziato cui l’amministrazione aveva calcolato il red­dito lordo per la successiva conversione. Nella sentenza 19 otto­bre 2004 nella causa M. 36.2004.129 questo Tribunale non ha ritenuto invece possibile la deduzione dell’affitto e del premio dell’assicurazione obbligatoria contro le malattie ed ha confer­mato la sua prassi di non ammettere deduzioni per spese di tra­sporto e di doppia economia domestica. La prassi è stata ulte­riormente ribadita nelle sentenze 36.2005.70 nella causa D. del 14 settembre 2005, 36.2005.94-95 del 21 settembre 2005 nella causa D., 36.2005.99 del 27 settembre 2005 nella causa N., 36.2005.117 nella causa S. del 24 ottobre 2005 e nella sentenza a composizione completa del Tribunale 36.2005.66-67 nella causa F. del 30 novembre 2005. 6. In merito all'art. 67 RLCAMal, e delle ulteriori norme del RLCAMal modificate il 13 marzo 2007 con pubblicazione sul Bollettino Ufficiale delle leggi il 16 marzo scorso, va evidenziato il fatto che il Governo cantonale ne abbia previsto l’applicazione retroattivamente al 1. gennaio di quest’anno. Tale esplicita effica­cia retroattiva pone più di un dubbio relativo alla sua vali­dità ed ammissibilità. Secondo il principio di non retroattività delle leggi un atto norma­tivo non può esplicare i suoi effetti anteriormente alla sua entrata in vigore. Per la dottrina (cfr. Auer/Malinverni/Hottellier, Droit Constitutionnel Suisse - Vol. I: L'État , 2a ed., Berna 2006, n. 1410) la non retroattività delle leggi è legata alla prevedibilità del diritto, ed ha trovato in primis il suo fondamento nel diritto pe­nale. Al principio della non retroattività delle norme è comunque riconosciuta valenza più ampia rispetto al diritto penale perché lo stesso ha attinenza alla garanzia della parità di trattamento ed è diritto che assurge a rango di Costituzione federale siccome de­dotto dal vecchio art. 4 Cost. In questo senso quindi la non re­troattività governa pure altri dominii del diritto tra i quali, oltre al diritto fiscale (in questo senso DTF 123 II 385 in re X. AG, in particolare pag. 197) o quello relativo agli stranieri (DTF 122 II 113 in re A.), anche quello delle assicurazioni sociali. In effetti nella sentenza del 19 dicembre 1996 concernente la Cassa Ma­lati U., pubblicata in DTF 122 V 405 (in particolare nelle conside­razioni al punto 3) il Tribunale Federale ha rammentato come: " «Dégagé de l' art. 4 al. 1 Cst. , le principe de la non-rétroactivité fait obstacle à l'application d'une norme à des faits entièrement révolus avant son entrée en vigueur (ATF 122 II 124 consid. 3b/dd, 119 Ia 257 consid. 3a; GEORG MÜLLER, in Commentaire de la Constitution fé­dérale, art. 4, no 74). Il est lié au principe de la prévisibilité, qui inter­dit à l'administration de prendre des mesures défavorables aux ad­ministrés en vertu de règles dont ils ne pouvaient attendre l'adoption (GRISEL, Traité de droit administratif, p. 148; MÜLLER, ibidem; ATF 119 Ia 258 consid. 3b, 119 V 4 consid. 2a, 102 Ia 74). Sous certaines conditions, il est cependant possible de déroger au principe de la non-rétroactivité: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(ATF 120 V 329 consid. 8b, 119 Ia 258 consid. 3b). En revanche, il n'y a pas de rétroactivité proprement dite si la nouvelle règle s'applique à un état de choses durable, non entièrement révolu dans le temps; il s'agit d'une rétroactivité impropre, qui est en principe admise si elle ne porte pas atteinte à des droits acquis (ATF 122 V 8 consid. 3a, 121 V 100 consid. 1a et les références citées)» La Costituzione federale del 18 aprile 1999 non fa esplicito cenno al divieto di retroattività ma lo stesso, come ricorda Etienne Grisel (in “ Égalité. Les garanties de la Constitution fédé­rale du 18 avril 1999 ", Berna 2000, n. 111 e segg.), sarà appli­cabile come in vigenza della precedente Costituzione siccome questo principio appare inerente allo Stato di diritto. Lo Stato: " … ne saurait modifier les règles du jeu au milieu de la partie et soumet­tre des faits anciens à des normes nouvelles; la sécurité, la prévisibilité de l’ordre juridique en pâtiraient, et la bonne foi des justiciables serait surprise." Sempre per rimanere al testo del prof. Grisel (n. 113) va ricor­dato come per il Tribunale Federale retroattiva in senso stre tto è ogni legge nuova che si applichi a fatti che “étaient entièrement révolus avant son entrée en vigueur” (DTF 124 II 453). Al contra­rio invece va qualificata di retroattività impropria la norma che esplica i suoi effetti per l’avvenire ma sulla scorta di uno stato di fatto esistente nel passato e che continui oltre la data d’entrata in vigore della nuova legge. Grisel evoca, a titolo d’esempio, l’Ordinanza sulla limitazione degli stranieri (OLS) operanti in Svizzera che fissava nuove condizioni per la trasformazione del permesso di stagionale al 31 dicembre 1994 e che si riferiva a persone che si trovavano già nella condizione di stagionale (il tema è stato affrontato in DTF 122 II 113 c. 3). La distinzione at­tiene ad un criterio temporale e concreto. Occorre verificare se lo stato di fatto cui si applica la norma sia compiuto (“ abgeschlos­sen ”) o se si estende su una durata anteriore e posteriore all’adozione della disposizione controversa. Più precisamente, come rammenta André Grisel nel suo Traité de droit administratif, ed. Ides et calendes, 1984, pag. 147 e segg., si può parlare di retroazione propriamente detta di una norma quando la regola di diritto si applichi a fatti intieramente svoltisi prima della sua entrata in vigore. L’autore rammenta come il principio della non retroattività sia enunciato dall’art. 1 del Tit.Fin. CCS. Come indicato il concetto fa riferimento alla prevedibilità del diritto che impedisce all’amministrazione di prendere delle misure sfavorevoli agli amministrati in applica­zione di regole la cui applicazione non poteva essere attesa. Il principio di non retroattività é di natura costituzionale ma non è assoluto, non può essere invocato se le norme di nuova ado­zione sono maggiormente favorevoli agli amministrati, rispetti­vamente può essere ammessa una retroattività quando, come evocato nella giurisprudenza riportata per esteso, siano realiz­zate le seguenti condizioni: · la retroattività è espressamente prevista dalla legge; · è limitata nel tempo in modo ragionevole; · è giustificata da motivi pertinenti d'interesse pubblico; · non dà luogo ad evidenti disparità di trattamento; · non arreca pregiudizio ai diritti acquisiti. In questo senso André Grisel (op. cit. pag. 149 in inizio) si veda anche Adelio Scolari, Diritto amministrativo - parte generale, 2a ed., n. 276. Dottrina e la giurisprudenza concordano che la base legale che prevede la retroattività non debba essere espressa (esplicita) per ammettere la retroattività propriamente detta. È sufficiente che il legislatore manifesti in maniera chiara la volontà di fare retroa­gire le regole di diritto che edita. Deve poi trattarsi di norme so­stanziali e non formali (e qui il riferimento della dottrina è più specificatamente fatto alle norme penali, v. A. Grisel, op. cit., loc. cit.). Per quanto attiene alla durata un anno sembra ancora es­sere ammissibile (DTF 102 Ia 73). Per essere pertinenti i motivi d’interesse pubblico debbono prevalere, in una pesata degli inte­ressi in gioco, su quelli privati. La giurisprudenza ha negato tale interesse pubblico prevalente all’interesse dello Stato ad au­mentare le proprie risorse finanziarie o ad evitare futuri carichi fi­nanziari (A. Grisel, op. cit., loc. cit., e giurisprudenza ivi citata). Per quanto rileva dalla retroattività impropria la stessa sussiste quando la nuova norma esplichi i suoi effetti ex nunc e pro futuro ma su fatti che sono nati, come evidenziato, nel passato e si protraggono o ripetono ulteriormente dopo la modifica dell’ordine giuridico. In questo caso la retroattività è ammissibile. “Les fait survenus sous l’empire de l’ancien droit, mais non encore révo­lus lors du changement de législation sont assimilés à ceux qui se produisent ultérieurement » (A. Grisel, op. cit., pag. 150). An­che in questo caso però giurisprudenza e dottrina indicano la possibilità di eccezioni (v. DTF 103 V 41). D’avviso di questo Tribunale non tutte le norme della modifica adottata il 13 marzo 2007 del RLCAMal sembrano essere ri­spettose delle condizioni per ritenere possibile l’eccezione al principio di non retroattività delle leggi (termine qui usato nella sua accezione più ampia). In particolare laddove queste norme sembrano aggravare le condizioni necessarie per l’ottenimento del sussidio e possono creare disparità di trattamento con altri assicurati che hanno beneficiato dell’ordine giuridico previgente per sussidi riferiti allo stesso periodo. La questione non va co­munque approfondita in questa sede alla luce dell’esito del gra­vame in discussione. In particolare, come si vedrà, nel caso con­creto non cambia la situazione della ricorrente sia che la norma dell’art. 67 litt. m RLCAMal sia quella precedente la modifica sia quella della sua nuova formulazione. 7.   Per costante prassi di questo Tribunale le decisioni di tassazione cresciute in giudicato vincolano l'amministrazione ed il giudice non può scostarsene se non in caso particolare. Come ram­menta la sentenza 36.2005.104-105 del 19 settembre 2005 per costante giurisprudenza, ogni tassazione fiscale è presunta conforme alla realtà: l'amministrazione è vincolata dalle comuni­cazioni delle autorità di tassazione e il giudice delle assicurazioni sociali esamina di principio la decisione fiscale unicamente dal profilo della legalità. L'autorità di giudizio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deve anzitutto difen­dere i suoi diritti nel procedimento fiscale anche per quanto con­cerne i contributi delle assicurazioni sociali (Pratique VSI 1993 pag. 232 consid. 4b, RCC 1992 pag. 35, RCC 1988 pag. 321 consid. 3, DTF 110 V 86 consid. 4 = RCC 1985 pag. 45 consid. 4, DTF 110 V 371 consid. 2a = RCC 1985 pag. 121 consid. 2a, DTF 106 V 130 consid. 1, DTF 102 V 30 consid. 3a = RCC 1976 pag. 275 consid. 3a). 8.   In concreto per il 2004 RI 1 dispone di una tassazione che vede un reddito imponibile di CHF 60'700.- mentre la sostanza è azzerata dai debiti. Questi valori non permettono la concessione del sussidio. Con la sua domanda di sussidio RI 1 ha segnalato, dal 1° gennaio 2006, il cambiamento del suo statuto lavorativo "da fisso a supplente" chiedendo, in buona sostanza, l'applicazione dell'art. 67 litt. m RLCAMal. 9.   Val qui la pena di ribadire come, in diritto, per l'accerta­mento autonomo del reddito l'UAM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Nell'ottica di tale volontà del le­gislatore i dati da considerare per la verifica del reddito sono, se possibile, i dati dell'anno per il quale il sussidio è chiesto, che vanno – come indicato in precedenza in caso di diminuzione im­portante del reddito secondo l'art. 67 lett. m RLCAMal – posti a raffronto con i dati ritenuti nella tassazione di riferimento dove necessario.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La LCAMal ed il relativo regolamento d'applicazione non fanno stato invece di una diminuzione della sostanza e tantomeno di una diminuzione volontaria della sostanza al fine di porsi a carico della società per il sussidio richiesto. Ebbene in concreto il reddito lordo annuo riconosciuto dall'amministrazione è stato determinato in CHF 38'891.- sulla base del contratto di lavoro e del certificato di salario prodotti sub. doc. 2. Questo reddito, senza neppure considerare la maggiorazione derivante dal valore locativo (dalle tassazioni acquisite fissato in CHF 12'000.- annui, v. doc. VI bis relativo alla tassazione IC 2004), dedotti i debiti ipotecari – e quindi anche nell'ipotesi più favorevole alla ricorrente – non consente di concedere il sussidio. In effetti, anche considerando il debito ipotecario, con un reddito di CHF 2'961.20 (come ritenuto dall'UAM in maniera non contestata dalla ricorrente), il reddito determinante è di CHF 26'000.- e quindi superiore ai limiti. Alla luce di quanto precede il ricorso va respinto. 10.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causa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 l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 SJ 2006, n. 8, pag. 319 segg., in particolare pag. 351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