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36.2007.54 vom 14. Mai 2007</w:t>
      </w:r>
    </w:p>
    <w:p>
      <w:r>
        <w:t>TI Tribunale d'appello, 2007-05-14, IT</w:t>
      </w:r>
    </w:p>
    <w:p>
      <w:r>
        <w:rPr>
          <w:b/>
        </w:rPr>
        <w:t xml:space="preserve">Quelle: </w:t>
      </w:r>
      <w:r>
        <w:t>https://mcp.opencaselaw.ch/entscheid/ti_gerichte_36.2007.54</w:t>
      </w:r>
    </w:p>
    <w:p>
      <w:r>
        <w:t>FR: TI_GERICHTE 36.2007.54 du 14 mai 2007</w:t>
      </w:r>
    </w:p>
    <w:p>
      <w:r>
        <w:t>IT: TI_GERICHTE 36.2007.54 del 14 maggio 2007</w:t>
      </w:r>
    </w:p>
    <w:p>
      <w:pPr>
        <w:pStyle w:val="Heading2"/>
      </w:pPr>
      <w:r>
        <w:t>Regeste</w:t>
      </w:r>
    </w:p>
    <w:p>
      <w:r>
        <w:t>Richiesta sussidio. Diminuzione del reddito lordo a seguito di alienazione volontaria di sostanza al figlio allo scopo di conseguire un vantaggio nell'ambito delle prestazioni sociali; accertamento autonomo del reddito negato.</w:t>
      </w:r>
    </w:p>
    <w:p>
      <w:pPr>
        <w:pStyle w:val="Heading2"/>
      </w:pPr>
      <w:r>
        <w:t>Erwägungen</w:t>
      </w:r>
    </w:p>
    <w:p>
      <w:r>
        <w:rPr>
          <w:b/>
        </w:rPr>
        <w:t>E. 48</w:t>
      </w:r>
    </w:p>
    <w:p>
      <w:r>
        <w:t>RLCAMal, è data la possibilità alla persona interessata di ottenere la revisione di una decisione in materia di sussidio in caso si verifichino, nel corso dell'anno, le condizioni dell’art. 67 RLCAMal. In merito a quest'ultima norma va rammentato come la giurisprudenza di questo TCA (cfr. STCA 24 giugno 2005, 36.2004.132 in re M-F; 36.2004.92 in re M. del 3 settembre 2004 36.2003.99/112 in re S. a pag. 9/10; 36.2003.116 in re T. entrambe del 26 gennaio 2004) ha ritenuto: " …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RLCAMal - posti a raffronto con i dati ritenuti nella tassazione di riferimento dove necessario. …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La giurisprudenza di questo Tribunale ammette la possibilità di dedurre dal reddito lordo da convertire unicamente interessi pas­sivi debitamente comprovati ed alimenti versati in virtù di preciso obbligo. Quindi, come rammentato nella sentenza 26 gennaio 2004 (36.2003.116 nella causa T.), quando sia accertata l’esistenza di uno dei motivi di cui all’art. 67 RLCAMal,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 come anticipato -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5. In merito all'art. 67 RLCAMal, e delle ulteriori norme del RLCAMal modificate il 13 marzo 2007 con pubblicazione sul Bollettino Ufficiale delle leggi il 16 marzo scorso, va evidenziato il fatto che il Governo cantonale ne abbia previsto l’applicazione retroattivamente al 1. gennaio di quest’anno. Tale esplicita effica­cia retroattiva pone più di un dubbio relativo alla sua vali­dità ed ammissibilità. Secondo il principio di non retroattività delle leggi un atto norma­tivo non può esplicare i suoi effetti anteriormente alla sua entrata in vigore. Per la dottrina (cfr. Auer/Malinverni/Hottellier, Droit Constitutionnel Suisse - Vol. I: L'État , 2a ed., Berna 2006, n. 1410) la non retroattività delle leggi è legata alla prevedibilità del diritto, ed ha trovato in primis il suo fondamento nel diritto pe­nale. Al principio della non retroattività delle norme è comunque riconosciuta valenza più ampia rispetto al diritto penale perché lo stesso ha attinenza alla garanzia della parità di trattamento ed è diritto che assurge a rango di Costituzione federale siccome de­dotto dal vecchio art. 4 Cost. In questo senso quindi la non re­troattività governa pure altri dominii del diritto tra i quali, oltre al diritto fiscale (in questo senso DTF 123 II 385 in re X. AG, in particolare pag. 197) o quello relativo agli stranieri (DTF 122 II 113 in re A.), anche quello delle assicurazioni sociali. In effetti nella sentenza del 19 dicembre 1996 concernente la Cassa Ma­lati U., pubblicata in DTF 122 V 405 (in particolare nelle conside­razioni al punto 3) il Tribunale Federale ha rammentato come: " «Dégagé de l' art. 4 al. 1 Cst. , le principe de la non-rétroactivité fait obstacle à l'application d'une norme à des faits entièrement révolus avant son entrée en vigueur (ATF 122 II 124 consid. 3b/dd,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119 V 4 consid. 2a, 102 Ia 74).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120 V 329 consid. 8b,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(ATF 122 V 8 consid. 3a, 121 V 100 consid. 1a et les références citées)» La Costituzione federale del 18 aprile 1999 non fa esplicito cenno al divieto di retroattività ma lo stesso, come ricorda Etienne Grisel (in “ Égalité. Les garanties de la Constitution fédé­rale du 18 avril 1999 ", Berna 2000, n. 111 e segg.), sarà appli­cabile come in vigenza della precedente Costituzione siccome questo principio appare inerente allo Stato di diritto. Lo Stato: " … ne saurait modifier les règles du jeu au milieu de la partie et soumet­tre des faits anciens à des normes nouvelles; la sécurité, la prévisibilité de l’ordre juridique en pâtiraient, et la bonne foi des justiciables serait surprise." Sempre per rimanere al testo del prof. Grisel (n. 113) va ricor­dato come per il Tribunale Federale retroattiva in senso stre tto è ogni legge nuova che si applichi a fatti che “étaient entièrement révolus avant son entrée en vigueur” (DTF 124 II 453). Al contra­rio invece va qualificata di retroattività impropria la norma che esplica i suoi effetti per l’avvenire ma sulla scorta di uno stato di fatto esistente nel passato e che continui oltre la data d’entrata in vigore della nuova legge. Grisel evoca, a titolo d’esempio, l’Ordinanza sulla limitazione degli stranieri (OLS) operanti in Svizzera che fissava nuove condizioni per la trasformazione del permesso di stagionale al 31 dicembre 1994 e che si riferiva a persone che si trovavano già nella condizione di stagionale (il tema è stato affrontato in DTF 122 II 113 c. 3). La distinzione at­tiene ad un criterio temporale e concreto. Occorre verificare se lo stato di fatto cui si applica la norma sia compiuto (“ abgeschlos­sen ”) o se si estende su una durata anteriore e posteriore all’adozione della disposizione controversa. Più precisamente, come rammenta André Grisel nel suo Traité de droit administratif, ed. Ides et calendes, 1984, pag. 147 e segg., si può parlare di retroazione propriamente detta di una norma quando la regola di diritto si applichi a fatti intieramente svoltisi prima della sua entrata in vigore. L’autore rammenta come il principio della non retroattività sia enunciato dall’art. 1 del Tit.Fin. CCS. Come indicato il concetto fa riferimento alla prevedibilità del diritto che impedisce all’amministrazione di prendere delle misure sfavorevoli agli amministrati in applica­zione di regole la cui applicazione non poteva essere attesa. Il principio di non retroattività é di natura costituzionale ma non è assoluto, non può essere invocato se le norme di nuova ado­zione sono maggiormente favorevoli agli amministrati, rispetti­vamente può essere ammessa una retroattività quando, come evocato nella giurisprudenza riportata per esteso, siano realiz­zate le seguenti condizioni: · la retroattività è espressamente prevista dalla legge; · è limitata nel tempo in modo ragionevole; · è giustificata da motivi pertinenti d'interesse pubblico; · non dà luogo ad evidenti disparità di trattamento; · non arreca pregiudizio ai diritti acquisiti. In questo senso André Grisel (op. cit. pag. 149 in inizio) si veda anche Adelio Scolari, Diritto amministrativo - parte generale, 2a ed., n. 276. Dottrina e la giurisprudenza concordano che la base legale che prevede la retroattività non debba essere espressa (esplicita) per ammettere la retroattività propriamente detta. È sufficiente che il legislatore manifesti in maniera chiara la volontà di fare retroa­gire le regole di diritto che edita. Deve poi trattarsi di norme so­stanziali e non formali (e qui il riferimento della dottrina è più specificatamente fatto alle norme penali, v. A. Grisel, op. cit., loc. cit.). Per quanto attiene alla durata un anno sembra ancora es­sere ammissibile (DTF 102 Ia 73). Per essere pertinenti i motivi d’interesse pubblico debbono prevalere, in una pesata degli inte­ressi in gioco, su quelli privati. La giurisprudenza ha negato tale interesse pubblico prevalente all’interesse dello Stato ad au­mentare le proprie risorse finanziarie o ad evitare futuri carichi fi­nanziari (A. Grisel, op. cit., loc. cit., e giurisprudenza ivi citata). Per quanto rileva dalla retroattività impropria la stessa sussiste quando la nuova norma esplichi i suoi effetti ex nunc e pro futuro ma su fatti che sono nati, come evidenziato, nel passato e si protraggono o ripetono ulteriormente dopo la modifica dell’ordine giuridico. In questo caso la retroattività è ammissibile. “Les fait survenus sous l’empire de l’ancien droit, mais non encore révo­lus lors du changement de législation sont assimilés à ceux qui se produisent ultérieurement » (A. Grisel, op. cit., pag. 150). An­che in questo caso però giurisprudenza e dottrina indicano la possibilità di eccezioni (v. DTF 103 V 41). D’avviso di questo Tribunale non tutte le norme della modifica adottata il 13 marzo 2007 del RLCAMal sembrano essere ri­spettose delle condizioni per ritenere possibile l’eccezione al principio di non retroattività delle leggi (termine qui usato nella sua accezione più ampia). In particolare laddove queste norme sembrano aggravare le condizioni necessarie per l’ottenimento del sussidio e possono creare disparità di trattamento con altri assicurati che hanno beneficiato dell’ordine giuridico previgente per sussidi riferiti allo stesso periodo. La questione non va co­munque approfondita in questa sede alla luce dell’esito del gra­vame in discussione. In particolare, come si vedrà, nel caso con­creto non cambia la situazione della ricorrente sia che la norma dell’art. 67 litt. m RLCAMal sia quella precedente la modifica sia quella della sua nuova formulazione. 6.   Per costante prassi di questo Tribunale le decisioni di tassazione cresciute in giudicato vincolano l'amministrazione ed il giudice non può scostarsene se non in caso particolare. Come ram­menta la sentenza 36.2005.104-105 del 19 settembre 2005 per costante giurisprudenza, ogni tassazione fiscale è presunta conforme alla realtà: l'amministrazione è vincolata dalle comuni­cazioni delle autorità di tassazione e il giudice delle assicurazioni sociali esamina di principio la decisione fiscale unicamente dal profilo della legalità. L'autorità di giudizio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deve anzitutto difen­dere i suoi diritti nel procedimento fiscale anche per quanto con­cerne i contributi delle assicurazioni sociali (Pratique VSI 1993 pag. 232 consid. 4b, RCC 1992 pag. 35, RCC 1988 pag. 321 consid. 3, DTF 110 V 86 consid. 4 = RCC 1985 pag. 45 consid. 4, DTF 110 V 371 consid. 2a = RCC 1985 pag. 121 consid. 2a, DTF 106 V 130 consid. 1, DTF 102 V 30 consid. 3a = RCC 1976 pag. 275 consid. 3a). 7.   In concreto RI 1, per l'anno 2004 dispone di una tassazione che prevede un imponibile superiore ai limiti fissati dal DE sopra ricordato. Come detto il giudice non si scosta dalla tassazione se non, come indicato, in casi eccezionali i cui estremi qui non ricorrono palesemente. 8.   Nella presente procedura il ricorrente chiede che si proceda all’accertamento del reddito da parte dell’amministrazione, alla luce dell'applicazione del predetto art. 67 lett. m. RLCAMal con­siderando l’alienazione di sostanza volontaria ed avvenuta senza controprestazione sostanziale, salvo la costituzione di servitù prediale di sporgenza (art. 674 CCS) sulla particella 2837 RFD __________ (doc. B1) e la costituzione di un diritto d'abitazione sulla particella 864 RFD di __________ dopo frazionamento. Il reddito da pensione non risulta diminuito tra il 2004 e il 2007. Il ricorrente non sostiene tale tesi. In altri termini dun­que il signor RI 1 postula la concessione del sussidio per il pagamento del premio dell’assicurazione malattia e ciò dopo avere alienato senza so­stanziale controprestazione immobili per la non indifferente cifra di circa CHF 341'000.--, in buona so­stanza egli vuole porre a ca­rico della collettività premi dell’assicurazione di base dopo avere donato le sue proprietà ai figli. Secondo il ricorrente, questi eventi avrebbero infatti inciso nel reddito del signor RI 1 in maniera determi­nante. 9.   Val qui la pena di rammentare come, in diritto, per l'accerta­mento autonomo del reddito l'UAM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Nell'ottica di tale volontà del le­gislatore i dati da considerare per la verifica del reddito sono, se possibile, i dati dell'anno per il quale il sussidio è chiesto, che vanno – come indicato in precedenza in caso di diminuzione im­portante del reddito secondo l'art. 67 lett. m RLCAMal – posti a raffronto con i dati ritenuti nella tassazione di riferimento dove necessario.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attagliati al caso concreto in cui vengono applicate. La LCAMal ed il relativo regolamento d'applicazione non fanno stato invece di una diminuzione della sostanza e tantomeno di una diminuzione volontaria della sostanza al fine di porsi a carico della società per il sussidio richiesto. 10.   Nel concreto caso occorre fare riferimento alla decisione di tassa­zione agli atti che non permette la concessione del sussidio Non si può ritenere invece una riduzione della sostanza nell'am­bito dell'art. 67 lett. m RLCAMal anche se, con la donazione, RI 1 potrebbe avere rinunciato a diritti locativi sui fabbricati B e C di cui al mappale 2837 RFD __________ (circostanza comunque neppure sostenuta in sede di ricorso ed osservazioni). Quand'anche dovesse essere ritenuta una diminuzione delle entrate il  procedere del ricorrente non può es­sere protetto. La diminuzione del reddito è avvenuta infatti per atto volontario di alienazione senza sostanziale contropartita. Non si può, in altri termini, indebolire la propria posizione economica, arricchendo quella di terzi (ancor meno se non bisognosi come in casu, la circostanza non è infatti stata sostenuta dal ricor­rente), senza obbligo giuridico, per far sborsare alla collettività parte del proprio premio di cassa malati. Si rinvia qui a quanto già ritenuto nella sentenza 3 settembre 2004 in re F. (36.2004.40.) A fronte di tale volontaria spoliazione dei beni senza obbligo e contropartita la richiesta di ottenimento del sussidio si palesa quale manifesto abuso di diritto (cfr. STCA del 16 maggio 2006, nr. 36.2006.77 in re P.; STCA del 3 settembre 2004, nr. 36.2004.40 in re F.). In questo senso André Grisel, Traité de droit administratif , op. cit., pag. 397 e DTF 108 V 88 che estende esplicitamente il principio del divieto di abuso di di­ritto anche nelle assicurazioni sociali, e meglio: " Das Prinzip von Treu und Glauben prägt die Beziehungen zwischen Verwaltung und Bürger (BGE 107 V 160 E. 2 a.A.); es gilt insbeson­dere auch im Sozialversicherungsrecht (vgl. z.B. BGE 106 V 33 E. 4 a.A.). Der Grundsatz ist Richtschnur einerseits für die Behörde, ande­rerseits für den einzelnen (IMBODEN/RHINOW, Schweizeri-sche Verwaltungsrechtsprechung, 5. Aufl., Bd. I, S. 458), somit auch für den Leistungsansprecher in der Sozialversicherung. Aus dem Grundsatz von Treu und Glauben fliessen u.a. das Verbot widerspruchsvollen oder rechtsmissbräuchlichen Handelns und das Vertrauensschutzprinzip (IMBODEN/RHINOW, a.a.O., S. 458 und 462). Daraus folgt, dass das Verhalten (Willenserklärungen, faktische Handlungsweisen, Stillschweigen) desjenigen, welcher von einem Sozialversicherer Leistungen beansprucht, so aufzufassen ist, wie sie dieser in guten Treuen verstehen durfte und verstehen musste (GUHL/MERZ/KUMMER, OR, 7. Aufl., S. 91 mit Hinweisen auf die Rechtsprechung)." Va rammentato, ad esempio, come l'alienazione senza contropar­tita, come quella in discussione, in sede di prestazioni complementari com­porti l'obbligo di considerare la sostanza alienata partendo dal suo valore intero e scalandolo di CHF 10'000.-- annui. Nell'ambito della giurisprudenza sviluppata in applicazione della LPC si è ritenuto: " … come lo scopo della PC sia quello di garantire un reddito minimo (Pratique VSI 1994 pag. 225). Si osserva in proposito che per il calcolo della prestazione comple­mentare vengono presi in considerazione, di principio, solo quegli at­tivi che l’assicurato ha effettivamente ricevuto e di cui può disporre senza restrizioni (AHI Praxis 1995 pag. 166 consid. 2a; RDAT I-1992 pag. 154; RCC 1984 pag. 189; WERLEN, Der Anspruch auf Ergän­zungsleistungen, Baden 1995, pagg. 156/166; ZAK 1989 pag. 238). È infatti rilevante la circostanza che l’interessato non dispone dei mezzi necessari per far fronte ai suoi bisogni esistenziali, non il motivo che ha condotto a questa situazione (DTF 115 V 355 consid. 5d).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I-1994 pag. 189 consid. 3a; RCC 1989 pag. 350 consid. 3b). (…) In conclusione, quindi, lo scopo dell’art. 3c cpv. 1 lett. g LPC consiste avantutto nell’evitare che un assicurato si spogli di tutto o di una parte dei suoi beni a favore di terzi, senza obbligo giuridico ed in modo da diminuire il reddito che determina il diritto alle prestazioni." Non occorre qui, poiché non è tema di discussione, sapere se anche per il futuro la donazione immobiliare del ricorrente potrà impedire allo stesso di farsi pagare dalla collettività chiamata a contribuire fiscalmente, i premi (in parte almeno) di Cassa Malati. Si evidenzia comunque come il ricorrente abbia alienato a titolo gratuito beni immobiliari non solo alle figlie __________ e __________ ma - come appare dall'atto notarile - anche al figlio __________ ("Questo atto viene pure firmato dal signor __________ che attesta formalmente, a futura memoria, che le prestazioni a favore delle sorelle __________ e __________ ... sono perfettamente equivalenti con quelle già effettuate, in passato da RI 1 a favore di __________ ") 11.   Va rammentato al ricorrente che i diritti previsti dalla legislazione sociale non sono concepiti per il comodo di alcuno, ma servono a sopperire i reali bisogni reali di chi si trova in difficoltà, ne va altri­menti della solidarietà. In casu basta rilevare che RI 1 è stato tassato per l'anno di riferimento, i limiti sono superati e la volontaria rinuncia, senza obbligo di legge e senza contropartita, di consistenti beni (anche a favore del figlio) non permette l'applicazione dell'art. 67 lett. m RLCAMal siccome costitutiva di abuso di diritto. Il ricorso, che appare temerario, va respinto. Si giustifica il carico di adeguata tassa di giustizia al ricorrente. 12.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