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36.2007.149 vom 21. Juni 2005</w:t>
      </w:r>
    </w:p>
    <w:p>
      <w:r>
        <w:t>TI Tribunale d'appello, 2005-06-21, IT</w:t>
      </w:r>
    </w:p>
    <w:p>
      <w:r>
        <w:rPr>
          <w:b/>
        </w:rPr>
        <w:t xml:space="preserve">Quelle: </w:t>
      </w:r>
      <w:r>
        <w:t>https://mcp.opencaselaw.ch/entscheid/ti_gerichte_36.2007.149_d20050621</w:t>
      </w:r>
    </w:p>
    <w:p>
      <w:r>
        <w:t>FR: TI_GERICHTE 36.2007.149 du 21 juin 2005</w:t>
      </w:r>
    </w:p>
    <w:p>
      <w:r>
        <w:t>IT: TI_GERICHTE 36.2007.149 del 21 giugno 2005</w:t>
      </w:r>
    </w:p>
    <w:p>
      <w:pPr>
        <w:pStyle w:val="Heading2"/>
      </w:pPr>
      <w:r>
        <w:t>Regeste</w:t>
      </w:r>
    </w:p>
    <w:p>
      <w:r>
        <w:t>Indennità per per perdita di guadagno in caso di malattia rifiutata poiché l'inabilità lavorativa, nel caso concreto, è dovuta ai postumi di un infortunio e non ad una malattia</w:t>
      </w:r>
    </w:p>
    <w:p>
      <w:pPr>
        <w:pStyle w:val="Heading2"/>
      </w:pPr>
      <w:r>
        <w:t>Erwägungen</w:t>
      </w:r>
    </w:p>
    <w:p>
      <w:r>
        <w:rPr>
          <w:b/>
        </w:rPr>
        <w:t>E. 10</w:t>
      </w:r>
    </w:p>
    <w:p>
      <w:r>
        <w:t>kg gli dovrebbe essere evitato. 2.2                                                                          l'attività attuale è ancora praticabile? Sì. 2.3                                                                          se sì in che misura: Riterrei che considerando le limitazioni sopraccitate la capacità lavorativa del paziente possa essere valutata intorno all’80%. 2.5                                                                          Presenta inoltre una diminuzione della capacità lavorativa: No. 2.7                                                                          Da quando esiste una limitazione della capacità del lavoro dal lato medico di almeno il 20%: Il paziente ha sempre lavorato in misura completa. 2.8                                                                          Qual è stato in seguito lo sviluppo della limitazione della capacità di lavoro? Vedi punto 2.1 (…) 3.   L'assicurato è in grado di svolgere altre attività? Sì. 3.1                                                                          Se sì, a quali esigenze deve rispondere il posto di lavoro dal punto di vista medico e che cosa bisogna tener soprattutto conto nel caso di un'altra attività. II paziente può sicuramente effettuare altre attività lavorative che gli permettono di sedersi circa ¼ d'ora ogni 2-3 ore, che non lo costringono a portare pesi superiori ai</w:t>
      </w:r>
    </w:p>
    <w:p>
      <w:r>
        <w:rPr>
          <w:b/>
        </w:rPr>
        <w:t>E. 15</w:t>
      </w:r>
    </w:p>
    <w:p>
      <w:r>
        <w:t>kg , in modo ripetitivo e soprattutto sulle scale. Queste attività potrebbero essere svolte in misura completa durante l'arco di tutta la giornata. Osservazioni: Per quanto riguarda la capacità funzionale residua, ritengo che per sollevamento e trasporto di carichi medi-leggeri, per pesi dai 5- 10 kg sia ridotta, dai 10- 25 kg notevolmente ridotta, per pesi dai 25 kg e oltre nulla. Per quanto riguarda la manipolazione di oggetti o attrezzi: normale per oggetti leggeri di precisione e medi. Notevolmente ridotta per oggetti pesanti. Nessuna limitazione di rotazione della mano. Per quanto riguarda la posizione di lavoro e dinamiche particolari: normale con braccia elevate. Nessuna limitazione per quanto riguarda la rotazione del tronco. Nessuna limitazione per quanto riguarda la posizione seduta ed in avanti. Ridotta per quanto riguarda la posizione eretta e piegata in avanti. Notevolmente ridotta per quanto riguarda la posizione inginocchiata-accovacciata con ginocchia in flessione. Per mantenere la posizione statica seduta la situazione è normale. Vi è una riduzione per la stazione eretta. Per quanto riguarda spostarsi e camminare, non vedo limitazioni anche per tragitti lunghi o su terreno accidentato, salire o scendere le scale, a parte che il paziente non debba portare ulteriori pesi. L'impiego delle due mani è possibile normalmente. Non vi è nessun disturbo del mantenimento dell'equilibrio o del bilanciamento." (Doc. AI 55/2-5) Nella sua proposta 27 giugno 2002 la dr.ssa __________ del SMR ha osservato: " La perizia del Dr. __________ permette di concludere che l'A. è abile nella sua attuale professione di cuoco e sul suo attuale posto di lavoro nella misura dell'80%; l'inabilità del 20% è dovuta alle limitazioni funzionali indicate al paragrafo 2.1. In altre attività l'abilità lavorativa può essere completa attenendosi alle limitazioni funzionali descritte al paragrafo 3.1." (Doc. AI 56-1) Con rapporto medico 15 dicembre 2003 il dr. __________, FMH in medicina generale, posta la diagnosi di “ osteomielite cronica al III intermedio della tibia destra in seguito a frattura aperta causata da un incidente stradale ” (sottolineatura del redattore), ha ritenuto l’assicurato inabile al lavoro al 50% a partire dall’8 ottobre 2003. Egli ha indicato che a causa di un aggravamento della situazione locale alla gamba nel corso del 2003 l’assicurato ha necessitato di cure antibiotiche. Il medico ha rilevato che a causa dei dolori l’interessato ha una ridotta capacità lavorativa, del 50% (4 ore al giorno), quale cuoco, attività da svolgere in piedi, mentre ha indicato che è difficile esprimere un parere riguardo ad una eventuale abilità lavorativa in altre attività, ritenendo necessario un accertamento professionale dettagliato, che tenga conto anche della sua minima scolarità (doc. AI 72-2+3). Nelle sue annotazioni 12 agosto 2004 il dr. __________ del SMR ha rilevato: " Trattasi di un __________, di professione cuoco, che soffre di osteomielite cronica al terzo intermedio della tibia a destra in esito da frattura del terzo medio distale tibiale a destra con osteosintesi, nel 1978. Stando alla perizia del Dr. __________ per conto della CV 1 (16.02.2004), è presente una osteomielite cronica al terzo intermedio della tibia destra in esito da frattura del terzo medio distale tibiale a destra con osteosintesi, nel 1978. Alla risonanza magnetica della gamba destra del 13.06.2003 vengono descritte immagini suggestive per un recidivo o sviluppo di osteomieliti a livello della vecchia frattura mediotibiale, presenza di un cloaca verso la regione cutanea antero-medialmente nonché presenza di piccole sequestrazioni ossee intramidollari. Questo esame radiologico viene ripetuto in data 04.12.2003, confermando l'osteomielite cronica al III° intermedio della tibia destra senza cambiamenti di rilievo rispetto al controllo del 13.06.03. Secondo lo specialista, l'attuale inabilità lavorativa al 50% è più che giustificata: la professione di cuoco svolta quasi esclusivamente in posizione eretta implica il carico continuo dell'arto inferiore che presenta un'osteomielite cronica documentata. Dal questionario per il DL risulta che l’A abbia lavorato al 100% dal 01.06.2002 al 31.10.2003, senza periodi di inabilità. Dagli atti all'incarto (perizia Dr. __________, rapporto Dr. __________) risulta che l’A abbia lavorato come cuoco nella misura del 50% dal 08.10.2003. L'A. à da ritenere inabile al 50% dall’08.10.2003." (Doc. AI 81-1, sottolineature del redattore) Con certificato medico</w:t>
      </w:r>
    </w:p>
    <w:p>
      <w:r>
        <w:rPr>
          <w:b/>
        </w:rPr>
        <w:t>E. 19</w:t>
      </w:r>
    </w:p>
    <w:p>
      <w:r>
        <w:t>agosto 2004 indirizzato all’Ufficio AI il dr. __________ ha osservato: " (...) L'assicurato in epigrafe soffre tuttora di un’osteomielite cronica al terzo intermedio della tibia destra in seguito ad una frattura aperta causata da un incidente stradale nel 1978. La situazione algica non è cambiata in questi ultimi tempi, ogni qual volta che il paziente cerca di aumentare la sua capacità lavorativa assistiamo ad un'esacerbazione dei disturbi a livello della gamba, con necessità di cura antibiotica pure a partire dal mese di giugno 2004. Come fattore aggravante è da menzionare un postumo di un incidente stradale con distorsione cervicale e sub-lussazione a livello dell'articolazione acromio-claveare sinistra con reazioni infiammatorie importanti persistenti." (Doc. AI 82-1, sottolineature del redattore) Nelle sue osservazioni 26 agosto 2004 il dr. __________ ha indicato: " L'A. soffre di una osteomielite cronica al terzo intermedio della tibia a destra in esito di frattura medio distale tibiale con osteosintesi, nel 1978. Il carico prolungato e continuo è controindicato per la guarigione di tale affezione. La professione di cuoco, che necessita una posizione eretta, è dunque poco favorevole. In questa attività l'A. è da ritenersi inabile al 50 % (mezza giornata) dall’08.10.2003. In attività adeguate, che permettano all'A. di potere lavorare prevalentemente in posizione seduta, di non dovere camminare su lunghi tragitti, di non dovere spostarsi su terreni sconnessi, scivolosi o pericolosi, di non rischiare di picchiare gli arti inferiori contro angoli o oggetti taglienti, di non dovere salire o scendere spesso scalini, di non dovere portare spesso pesi di più di 5 kg , raramente di più di 10 kg , la capacità lavorativa dell'assicurato potrebbe essere del 75% a partire dall’08.10.2003." (Doc. AI 85-1) In data 1° settembre 2004 il dr. __________ ha rilevato: " Nella sua perizia ortopedica del 21.06.2002, il Dr. __________ aveva ritenuto come unica diagnosi con ripercussioni sulla capacità di lavoro quella di stato dopo frattura e osteosintesi della tibia destra con sviluppo di una osteomielite cronica, con conseguente incapacità lavorativa come cuoco del 50% e di 0% in attività adatta che rispetti i limiti da lui elencati. Nel suo rapporto medico Al del 17.12.2003, il MC, Dr. __________, dava come unica diagnosi quella sopraindicata dal Dr. __________ ed indicava una CL del 50% dall’08.10.2003, quale cuoco. Nel rapporto medico Al del 19.08.2004, il MC riferisce che la situazione algica non è cambiata in questi ultimi tempi e che ogni volta che l'A. cerca di aumentare la sua capacità lavorativa si assiste ad un'esacerbazione dei disturbi a livello della gamba destra, con necessità di cura antibiotica pure a partire da giugno 2004. Non è tuttavia oggettivata la natura di questi disturbi, né la loro ripercussione sulla capacità lavorativa. È da notare che la nostra valutazione (26.08.2004) della capacità lavorativa concordava con quella del MC (rapporto 15.12.2003), concernente l'attività esercitata abitualmente (50%). Per quanto concerne il peggioramento dello stato di salute dell'A, il MC cita come fattore aggravante un postumo dell'incidente stradale del 1998 con distorsione e sub-lussazione a livello dell'articolazione acromio-claveare sinistra con reazioni infiammatorie importanti persistenti. Si tratta di un nuovo elemento patologico, mai preso in considerazione anteriormente nella valutazione della CL residua, che va dunque valutato attualmente con una perizia ortopedica (Dr. __________)." (Doc. AI 91-1) L’amministrazione ha quindi incaricato il dr. __________ di eseguire una nuova perizia specialistica. Nel dettagliato referto 14 ottobre 2004 il perito - sulla base delle risultanze degli atti contenuti nell’incarto, nonché degli accertamenti medici eseguiti in occasione della visita 6 ottobre 2004 – ha posto le diagnosi con influsso sulla capacità lavorativa di “ stato dopo frattura e osteosintesi della tibia destra con sviluppo di un’osteomielite cronica attualmente fistolizzante. Asserite algie della gamba destra ” e le diagnosi senza ripercussioni sulla capacità lavorativa di “stato post-contusivo spalla sinistra senza lesioni traumatiche ossee o ligamentose dimostrate sia tramite MRI sia mediante l’esame clinico. Leggera ipercolesterolemia non trattata” (doc. AI 96-2+3). Il perito ha precisato che si è avverata la prognosi da lui indicata nel precedente referto peritale</w:t>
      </w:r>
    </w:p>
    <w:p>
      <w:r>
        <w:rPr>
          <w:b/>
        </w:rPr>
        <w:t>E. 21</w:t>
      </w:r>
    </w:p>
    <w:p>
      <w:r>
        <w:t>giugno 2002, nel senso che si è effettivamente verificata un’acutizzazione della sintomatologia con attivazione della fistola e ulteriore spurgo di pus (doc. AI 96-3). In merito alla capacità lavorativa il perito ha rilevato: " (...) B. CONSEGUENZE SULLA CAPACITÀ DI LAVORO 1.   Menomazioni (qualitative e quantitative) dovute ai disturbi constatati 2. ●    a livello fisico Il paziente presenta un arto inferiore destro non caricabile al 100% nel senso che è costretto a sedersi saltuariamente per far riposare la gamba. ●    nell'ambito sociale Nessuno. 3.   Conseguenze dei disturbi sull'attività attuale 3.1                                                                          Come si ripercuotono i disturbi sull'attività attuale dell'assicurato? In occasione della visita del 21.6.02 il paziente mi riferiva che nell'attuale posto di lavoro nel ristorante __________ a __________ il lavoro era relativamente leggero e quindi lo stesso poteva essere effettuato in misura completa. Da notare inoltre che allora la fistola non era attiva e il paziente accusava decisamente meno dolori. A quel periodo il paziente riferiva che poteva stare in piedi circa 3 ore e poi doveva riposarsi per circa 15 minuti. 3.2                                                                          Esatta descrizione delle funzioni intatte e della capacità di carico Anche questa volta non trovo limitazioni per quanto riguarda gli arti superiori e la colonna lombare. Per quanto riguarda gli arti inferiori il paziente deve sedersi con una frequenza di ¼ d'ora - 20 minuti ogni 2 ore di lavoro. Non ha limitazioni per quanto riguarda il trasporto di pesi leggeri fino a 5 kg . Lievemente ridotta da 6 ai 10 kg . Ridotta dagli 11 ai</w:t>
      </w:r>
    </w:p>
    <w:p>
      <w:r>
        <w:rPr>
          <w:b/>
        </w:rPr>
        <w:t>E. 25</w:t>
      </w:r>
    </w:p>
    <w:p>
      <w:r>
        <w:t>kg , esigua oltre i</w:t>
      </w:r>
    </w:p>
    <w:p>
      <w:r>
        <w:rPr>
          <w:b/>
        </w:rPr>
        <w:t>E. 26</w:t>
      </w:r>
    </w:p>
    <w:p>
      <w:r>
        <w:t>febbraio 2008 l’attore ha trasmesso al TCA un certificato in cui il medico curante ha attestato che lo stato di salute del suo paziente è da attribuire ad una malattia e non ad un infortunio (doc. M). Sennonché, da una parte va evidenziato come il certificato del medico curante, scarno e non motivato, non contraddice quanto sopra esposto nella misura in cui l’inabilità lavorativa è dovuta alla osteomielite, ossia ad un “processo infettivo simultaneamente dell'osso e del midollo osseo, provocato da batteri piogeni (cioè quelli che determinano la produzione di pus). Ne esistono forme acute e forme croniche. Le prime sono causate in genere da Staphylococcus aureus (cfr. www.sapere.it), il quale però, come visto, è la conseguenza di un infortunio (la frattura della tibia causata dall’incidente del 1978). D’altra parte va evidenziato come secondo la generale esperienza della vita, il giudice deve tener conto del fatto che, in dubbio, il medico curante attesta a favore del suo paziente (cfr. DTF 125 V 353 consid. 3b/cc; Meyer-Blaser, Rechtsprechung des Bundesgerichts, op. cit., pag. 111). Ne discende che l’inabilità lavorativa al 50% è dovuta ad un disturbo della salute conseguenza di un infortunio e non di una malattia. L’assicuratore non è pertanto tenuto ad erogare prestazioni (cfr. art. 3 CGA 1998 e 2002). In queste condizioni la petizione va respinta. L’assicuratore chiede il pagamento di ripetibili in quanto è rappresentato da un legale. Per giurisprudenza costante di questo Tribunale, gli assicuratori vincenti in causa, anche se rappresentati da un avvocato, non hanno diritto a ripetibili (STCA del 5 agosto 2002, inc. 36.2001.60; STCA del 22 luglio 2003, inc. 36.2003.40; STCA del 24 luglio 2003, 36.2002.103). 2.7.   L’attore chiede l’allestimento di una perizia atta a stabilire che l’inabilità lavorativa è dovuta a malattia e non, in modo preponderante, ad un infortunio (doc. I). Come visto in precedenza gli atti medici richiamati da questo Tribunale, completi, chiari e non contestati nel loro contenuto, sono sufficienti per poter decidere nel merito della causa. Ulteriori accertamenti, tra cui l’allestimento di una perizia, non modificherebbero l’esito del procedimento.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2.8.   L’attore chiede infine di essere posto a beneficio dell’assistenza giudiziaria. Secondo l’art. 21 cpv. 2 LPTCA la disciplina della difesa d’ufficio e del gratuito patrocinio è retta dalla Legge sul patrocinio d’ufficio e sull’assistenza giudiziaria. La legge cantonale sul patrocinio d'ufficio e sull'assistenza giudiziaria , in vigore dal 30 luglio 2002 (cfr. art. 38 Lag e BU 30/2002 pag. 213 segg.), all'art. 3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presupposti per la concessione dell’assistenza giudiziaria sono dunque adempiuti qualora l'assistenza di un avvocato appaia necessaria o comunque indicata, se il richiedente si trova nel bisogno e se le sue conclusioni non sembrano dover avere esito sfavorevole.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2.9.   In concreto, a differenza di quanto giudicato in ambito AI (cfr. inc. 32.2006.36) l’istanza di assistenza giudiziaria va respinta già solo per il fatto che la causa, viste le chiare risultanze mediche circa l’origine dell’inabilità lavorativa, appariva sin dall’inizio priva di esito favorevole. Inoltre, anche volendo, per pura ipotesi di lavoro, considerare che la causa avrebbe avuto la possibilità di esito favorevole, l’istanza andrebbe comunque respinta poiché l’interessato, per i motivi che seguono, non può (più) essere ritenuto indigente. Secondo la Tabella per il calcolo del minimo d’esistenza agli effetti del diritto esecutivo allestita dalla Camera di esecuzione e fallimento CEF, quale autorità di vigilanza cantonale, in vigore dal 1° gennaio 2001, l’importo base mensile per i coniugi è di fr. 1'550 al mese, a cui vanno aggiunti fr. 500 per il figlio che compirà __________ a fine marzo e fr. 350 per la figlia di __________. A questo importo va aggiunto un supplemento del 15-25% conformemente alla giurisprudenza del TFA. Dal certificato per l’ammissione all’assistenza giudiziaria emerge che l’interessato, nato nel __________, consegue attualmente un reddito di fr. 1'914 al mese, mentre la moglie percepisce fr. 3'048, per complessivi fr. 4'962 (doc. XI/Bis). Con questo importo l’attore deve far fronte a fr. 1'187 al mese di affitto oltre fr. 660 all’anno di conguaglio. Non sono invece stati indicati ulteriori oneri sociali (neppure di cassa malati, poiché, verosimilmente, visto il reddito imponibile, beneficiano del sussidio). Sulla base di quanto prodotto emerge un fabbisogno di fr. 1’242 (1'187 + 55 [660 : 12]), cui vanno aggiunti l’importo di fr. 1'550 (importo base mensile per coniugi) e fr. 850 (per i figli) che comprende le spese di sostentamento, abbigliamento, biancheria, igiene, cultura, salute, oneri domestici, quali elettricità, illuminazione, gas (cfr. tabella per il calcolo del minimo di esistenza agli effetti del diritto esecutivo del 1° gennaio 2001), per un importo complessivo di fr. 3’642. Aggiungendo il supplemento massimo del 25% al minimo esecutivo di fr. 2’400 (ossia fr. 600, con il 15% sarebbero fr. 360), si raggiunge un fabbisogno di fr. 3'000. Sommando l’importo di fr. 1'242, si ottiene la somma di fr. 4'242, nettamente inferiore rispetto alle entrate di circa fr. 4’962 al mese (1'914 + 3'048). Anche volendo aggiungere l’importo (massimo) di fr. 70 (al mese) per le spese di una motocicletta quali spese di trasferta per la moglie (cfr. II/4d della Tabella per il calcolo del minimo di esistenza agli effetti del diritto esecutivo e punto 2.3 della tassazione 2006) e fr. 138 al mese per l’uso dell’automobile per il marito (cfr. tassazione 2006: 1'664: 12; cfr. tuttavia punto II/4d della Tabella per il calcolo del minimo di esistenza agli effetti del diritto esecutivo e punto 2.3 della tassazione 2006), il fabbisogno sarebbe comunque nettamente inferiore alle entrate (fr. 4'450, per una differenza di fr. 512). Con sentenza del 20 settembre 2004 nella causa F., U 102/04 il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Nell’evenienza concreta, considerato che l’attore ha un’eccedenza di circa fr. 700 mensili (rispettivamente fr. 500), anche la condizione dell’indigenza non è adempiuta. In queste condizioni il TCA ritiene che nella fattispecie non siano soddisfatti i requisiti cumulativi per la concessione dell'assistenza giudiziaria a favore dell'assicurato. 2.10.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l’attore chiede la condanna dell’assicuratore al pagamento di fr. 11'200 oltre interessi al 5% dal 1.1.2007. In queste condizioni non sono raggiunti i fr. 30'000 richiesti dalla LTF, neppure se si prendesse in considerazione l’importo di fr. 21'000 chiesto dall’attore alla Cassa con lettera dell’8 agosto 2007 per il periodo dal 1° aprile 2006 al 31 agosto 2007 (doc. V/Bis). Trattandosi di una causa di carattere pecuniario, non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