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36.2007.10 vom 5. Juni 2007</w:t>
      </w:r>
    </w:p>
    <w:p>
      <w:r>
        <w:t>TI Tribunale d'appello, 2007-06-05, IT</w:t>
      </w:r>
    </w:p>
    <w:p>
      <w:r>
        <w:rPr>
          <w:b/>
        </w:rPr>
        <w:t xml:space="preserve">Quelle: </w:t>
      </w:r>
      <w:r>
        <w:t>https://mcp.opencaselaw.ch/entscheid/ti_gerichte_36.2007.10</w:t>
      </w:r>
    </w:p>
    <w:p>
      <w:r>
        <w:t>FR: TI_GERICHTE 36.2007.10 du 5 juin 2007</w:t>
      </w:r>
    </w:p>
    <w:p>
      <w:r>
        <w:t>IT: TI_GERICHTE 36.2007.10 del 5 giugno 2007</w:t>
      </w:r>
    </w:p>
    <w:p>
      <w:pPr>
        <w:pStyle w:val="Heading2"/>
      </w:pPr>
      <w:r>
        <w:t>Regeste</w:t>
      </w:r>
    </w:p>
    <w:p>
      <w:r>
        <w:t>Interpretazione di un riconoscimento di debito di un assicuratore malattie. Interruzione della prescrizione.</w:t>
      </w:r>
    </w:p>
    <w:p>
      <w:pPr>
        <w:pStyle w:val="Heading2"/>
      </w:pPr>
      <w:r>
        <w:t>Erwägungen</w:t>
      </w:r>
    </w:p>
    <w:p>
      <w:r>
        <w:rPr>
          <w:b/>
        </w:rPr>
        <w:t>E. 1</w:t>
      </w:r>
    </w:p>
    <w:p>
      <w:r>
        <w:t>e 2 sono applicabili per analogia alla procedura di opposizione e nella procedura di ricorso. Kieser, in ATSG Kommentar, Basilea, Ginevra, Zurigo, 2003, a pag. 503 (n. 5 ad art. 50), rammenta che già prima dell’entrata in vigore della LPGA nell’ambito delle assicurazioni sociali le transazioni, laddove erano possibili, dovevano figurare in una decisione (cfr. anche pag. 505, n. 11 ad art. 50: “ Art. 50 Abs.</w:t>
      </w:r>
    </w:p>
    <w:p>
      <w:r>
        <w:rPr>
          <w:b/>
        </w:rPr>
        <w:t>E. 2</w:t>
      </w:r>
    </w:p>
    <w:p>
      <w:r>
        <w:t>Sono nulli i patti che assoggettano il credito verso l'assicuratore ad una prescrizione o ad un termine più breve. Rimane ferma la disposizione dell'articolo 39 capoverso 2 numero 2 della presente legge." Questa norma è imperativa. Carré, in Loi fédérale sur le contrat d'assurance, Losanna 2000, pag. 319, ricorda: " Force obligatoire Les prescriptions de cet art. ne peuvent pas être modifiées conventionellement au détriment du preneur ou de l'ayant droit, selon l'art. 98 LCA. Elle est impérative pour toutes les branches d'assurances, sous réserve de celle de l'assurance-transport: cf. plus bas (Tciv. BS RBA V n° 209/219). Elle n'est cependant pas d'ordre public, ni d'ailleurs contraire aux moeurs, si le droit étranger, applicable au contrat, y déroge (CJ GE RBA X n° 50; Tciv. BS RBA V n° 209/219 all.). Ainsi, les parties peuvent valablement convenir d'un délai de prescription, ou de déchéance, plus long que le délai légal (ATF 74 II 97 all., JdT 1948 I 592, RBA X n° 49; ATF 60 II 445 all., JdT 1935 I 208, rés. SJ 1935 p. 349, RBA VII n° 182). La jurisprudence a écarté la théorie selon laquelle l'art. 46 LCA aurait été rangé par inadvertance dans les dispositions relativement impératives de la loi, et non dans celles, qui sont absolument impératives au sens de l'art. 97 LCA (ATF 48 II 284, JdT 1923 I 162, RBA V n° 213; CCC FR RBA XIII n° 56). Un autre délai, plus court, de prescription, ou de péremption (cf. ci-après), peut en effet être stipulé en matière d'assurance-transport (…)." 10.   In concreto l’attore è stato degente presso la Clinica __________ di __________ dal 1.7.2003 al 3.7.2003 (doc. 26/3). L’istanza, datata 3 novembre 2006, è pervenuta alla Pretura di __________ il 6 novembre 2006 (doc. I) e trasmessa al TCA il 10 gennaio 2007 (doc. II). A norma dell’art. 139 CO se l’azione o l’eccezione furono respinte per incompetenza del giudice adito, o per un vizio rimediabile, o come intempestivamente proposte, e il termine di prescrizione sia nel frattempo decorso è accordato un nuovo termine di sessanta giorni per promuovere l’azione. Per l’art. 1a cpv. 2 LPTCA l’atto di ricorso indirizzato ad un’autorità non competente è trasmesso d’ufficio al Tribunale cantonale delle assicurazioni. In tal caso è determinante la data di deposito presso la prima autorità. Per l’art. 1 cpv. 3 ultima frase LPTCA, in ambito di assicurazioni complementari, la procedura, applicata in analogia, è quella prevista per i ricorsi. Per cui la data determinante è quella di notifica della petizione alla Pretura. L’interessato avrebbe dovuto inoltrare la petizione entro i due anni dalla degenza. Tuttavia, per l’art. 135 CO la prescrizione è interrotta mediante riconoscimento del debito da parte del debitore, in ispecie mediante il pagamento di interessi o di acconti e la dazione di pegni o fideiussioni (cifra 1), oppure mediante atti di esecuzione, azione od eccezione aventi un giudice od un arbitro, e così pure mediante insinuazione nel fallimento o citazione avanti l’ufficio di conciliazione. Coll’interruzione incomincia a decorrere una nuova prescrizione (art. 137 cpv. 1 CO). In concreto, come visto in precedenza, con scritto del 29 novembre 2004 (ed in precedenza, condizionalmente, il 29 ottobre 2004), entro il termine di due anni previsto dall’art. 46 LCA, l’assicuratore ha riconosciuto il proprio debito nei confronti dell’attore. La prescrizione è pertanto stata validamente interrotta ed un nuovo termine ha iniziato a decorrere. L’istanza del 3 novembre 2006 è di conseguenza tempestiva, giacché presentata entro il termine di due anni. La petizione va pertanto accolta. La Cassa è condannata a versare all’attore un importo di fr. 6'000.-- oltre interessi al 5% dal 15 gennaio 2005 (cfr. doc. EE, nonché art. 102. cpv. 2 CO). 11.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CHF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 concreto, il valore litigioso è rappresentato dalla pretesa di versamento formulata dall ' attore di Fr. 6’000.--. Trattandosi di una causa di carattere pecuniario, non sono quindi dati gli estremi per interporre un eventuale ricorso in materia civile al Tribunale Federale sulla base del valore litigioso (art. 74 cpv. 1 lett. b LTF). Il ricorso è ugualmente ammissibile se la controversia concerne una questione di diritto di importanza fondamentale (art. 74 cpv. 2 lett. a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