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36.2006.95 vom 1. Juni 2006</w:t>
      </w:r>
    </w:p>
    <w:p>
      <w:r>
        <w:t>TI Tribunale d'appello, 2006-06-01, IT</w:t>
      </w:r>
    </w:p>
    <w:p>
      <w:r>
        <w:rPr>
          <w:b/>
        </w:rPr>
        <w:t xml:space="preserve">Quelle: </w:t>
      </w:r>
      <w:r>
        <w:t>https://mcp.opencaselaw.ch/entscheid/ti_gerichte_36.2006.95</w:t>
      </w:r>
    </w:p>
    <w:p>
      <w:r>
        <w:t>FR: TI_GERICHTE 36.2006.95 du 1 juin 2006</w:t>
      </w:r>
    </w:p>
    <w:p>
      <w:r>
        <w:t>IT: TI_GERICHTE 36.2006.95 del 1 giugno 2006</w:t>
      </w:r>
    </w:p>
    <w:p>
      <w:pPr>
        <w:pStyle w:val="Heading2"/>
      </w:pPr>
      <w:r>
        <w:t>Regeste</w:t>
      </w:r>
    </w:p>
    <w:p>
      <w:r>
        <w:t>stralcio perché la causa è diventata priva di oggetto in seguito all'emanazione di una nuova decisione prima della notifica della risposta di causa.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stralciato dai ruoli siccome divenuto privo di oggetto. 2.   Non si prelevano tasse e spese. CO 1 verserà a RI 1 fr. 500 (IVA inclusa) a titolo di ripetibili.</w:t>
      </w:r>
    </w:p>
    <w:p>
      <w:r>
        <w:rPr>
          <w:b/>
        </w:rPr>
        <w:t>E. 3</w:t>
      </w:r>
    </w:p>
    <w:p>
      <w:r>
        <w:t>intimazione alle parti ai sensi ed effetti di legge. Il giudice delegato del Tribunale cantonale delle assicurazioni 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