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36.2006.76 vom 10. Juli 2006</w:t>
      </w:r>
    </w:p>
    <w:p>
      <w:r>
        <w:t>TI Tribunale d'appello, 2006-07-10, IT</w:t>
      </w:r>
    </w:p>
    <w:p>
      <w:r>
        <w:rPr>
          <w:b/>
        </w:rPr>
        <w:t xml:space="preserve">Quelle: </w:t>
      </w:r>
      <w:r>
        <w:t>https://mcp.opencaselaw.ch/entscheid/ti_gerichte_36.2006.76</w:t>
      </w:r>
    </w:p>
    <w:p>
      <w:r>
        <w:t>FR: TI_GERICHTE 36.2006.76 du 10 juillet 2006</w:t>
      </w:r>
    </w:p>
    <w:p>
      <w:r>
        <w:t>IT: TI_GERICHTE 36.2006.76 del 10 luglio 2006</w:t>
      </w:r>
    </w:p>
    <w:p>
      <w:pPr>
        <w:pStyle w:val="Heading2"/>
      </w:pPr>
      <w:r>
        <w:t>Regeste</w:t>
      </w:r>
    </w:p>
    <w:p>
      <w:r>
        <w:t>Rifiuto dell'assunzione dei costi di estrazione di un dente allorché l'intervento effettuato dal dentista non comporta complicazioni particolari.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marzo 2005 nella causa T., K 164/03 il TFA ha affermato: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