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36.2006.59 vom 15. März 2006</w:t>
      </w:r>
    </w:p>
    <w:p>
      <w:r>
        <w:t>TI Tribunale d'appello, 2006-03-15, IT</w:t>
      </w:r>
    </w:p>
    <w:p>
      <w:r>
        <w:rPr>
          <w:b/>
        </w:rPr>
        <w:t xml:space="preserve">Quelle: </w:t>
      </w:r>
      <w:r>
        <w:t>https://mcp.opencaselaw.ch/entscheid/ti_gerichte_36.2006.59</w:t>
      </w:r>
    </w:p>
    <w:p>
      <w:r>
        <w:t>FR: TI_GERICHTE 36.2006.59 du 15 mars 2006</w:t>
      </w:r>
    </w:p>
    <w:p>
      <w:r>
        <w:t>IT: TI_GERICHTE 36.2006.59 del 15 marzo 2006</w:t>
      </w:r>
    </w:p>
    <w:p>
      <w:pPr>
        <w:pStyle w:val="Heading2"/>
      </w:pPr>
      <w:r>
        <w:t>Regeste</w:t>
      </w:r>
    </w:p>
    <w:p>
      <w:r>
        <w:t>Istanza di rigetto dell'opposizione formulata dalla Cassa. Dopo l'emanazione di decisione divenuta definitiva l'amministrazione fa spiccare PE contro l'assicurata per incasso premi e partecipazioni. Opposizione al PE. Istanza di rigetto irricevibile trasmesse d'ufficio alla Pretura competente.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w:t>
      </w:r>
    </w:p>
    <w:p>
      <w:r>
        <w:rPr>
          <w:b/>
        </w:rPr>
        <w:t>E. 2</w:t>
      </w:r>
    </w:p>
    <w:p>
      <w:r>
        <w:t>L’esame del Tribunale Cantonale delle Assicurazioni deve avere per oggetto, anzitutto, la competenza di questa autorità giudiziaria a giudicare l’istanza di rigetto dell’opposizione prodotta.</w:t>
      </w:r>
    </w:p>
    <w:p>
      <w:r>
        <w:rPr>
          <w:b/>
        </w:rPr>
        <w:t>E. 3</w:t>
      </w:r>
    </w:p>
    <w:p>
      <w:r>
        <w:t>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Giusta l'art. 82 cpv. 1 LEF se il credito si fonda sopra un riconoscimento di debito constatato mediante atto pubblico o scrittura privata, il creditore può chiedere il rigetto provvisorio dell'opposizione. Il cpv. 2 prevede che il giudice lo pronuncia, sempre che il debitore non giustifichi immediatamente delle eccezioni che infirmano il riconoscimento di debito. 4.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(sottolineatura del redattore)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(sottolineatura del redattore)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reconnaitre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w:t>
      </w:r>
    </w:p>
    <w:p>
      <w:r>
        <w:rPr>
          <w:b/>
        </w:rPr>
        <w:t>E. 4</w:t>
      </w:r>
    </w:p>
    <w:p>
      <w:r>
        <w:t>En l'espèce, on est en présence d'une décision formelle consécutive à l'opposition formée au commandement de payer par le débiteur. Il convient tout d'abord de se demander s'il existe une différence essentielle entre les voies b) e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(art. 80 LP) lorsque, s'agissant d'un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 En effet, il a été maintes fois rappelé que, dans les matières qui sont de son ressort, le juge des assurances est effectivement le juge ordinaire selon l'art. 79 LP et qu'il a qualité pour lever une opposition à la poursuite en statuant sur le fond (ATF 99 V 79) consid. a; ATFA 1968 p. 19 consid. 1)." (sottolineature del redattore) Infine, a proposito della competenza del giudice amministrativo, Daniel Staehelin, in Kommentar zum Bundesgesetz über Schuldbetreibung und Konkurs, SchKG I, art. 1-87, pag. 621 segg., afferma: " Unterliegt der in Betreibung gesetzte Anspruch dem öffentlichen recht, so ist zu seiner Beurteilung nicht der Zivilrichter, sondern dei Verwaltungsbehörde zuständig. Das ordentliche Verfahern ist hierbei nicht der Zivilprozess sondern das Verwaltungsverfahren. Gemäss dem in der Revision 1994 eingefügten Wortlaut, welcher eine langjährige Praxis aufnimmt, kann hierbei die Verwaltungsbehörde zusammen mit ihrem materiellen Entscheid den Rechtsvorschlag beseitigen. Verwaltungsbehörde ist neben den Beschwerdeinstanzen insb. auch die erstinstanzlich verfügende Behörde. Hiergegen wurden in der Literatur und von gewissen kantonalen Instanzen starke Bedenken geäussert, da die verfügende Verwaltungsbehörde üblicherweise Gläubiger und damit Partei des Betreibungsverfahrens ist, was mit der Funktion des Vollstreckungsrichters, welche mit der Beseitigung des Rechtsvorschlages ausgeübt wird, nicht vereinbar ist (….). Angesicht der klaren Position des Bundesgerichts (..omissis) sowie der kantonalen Praxis (…omissis…), welche bei der Revision Niederschlag im Wortlaut von Art. 79 gefunden hat, sowie der entsprechenden Regelung in Spezialnormen (art. 57 Abs. 3 MWStV), muss de lege lata nicht näher auf diese Kritik eingegangen werden. (…..) Nur diejenigen Verwaltungsbehörden können einen Rechtsvorschlag beseitigen, deren materielle Verfügungen im Rechtsöffnungsverfahern zur definitiven Rechtsöffnung berechtigen würden (BGE 107 III 65; Schwander, Schriftenreihe SAV, 36; Kofml, 1350). Dies sind Entscheide der Bundesbehörden und der kantonalen Behörden, soweit sie das kantonale Recht den vollstreckbaren gerichtlichen Urteilen gleichsetzt (art. 81 Abs. 2 Ziff. 2 und 3). Voraussetzung für die Beseitigung des Rechtsvorschlages durch die Verwaltungsbehörde ist zudem, dass die materielle Verfügung über den in Betreibung gesetzten Anspruch erst nach erhobenem rechtsvorschlag und zusammen mit dessen Beseitigung erlassen wird . Hat die Verwaltungsbehörde bereits vor Einleitung der Betreibung eine Verfügung erlassen, so kann sie nicht nachträglich den Rechtsvorschalg beseitigen, sondern muss das Verfahren der definitiven Rechtsöffnung einleiten (BGE 109 V 51; RegRat SZ, EGV 1995, 113; Oger OW, AB 1994/95, 19 f.; Vers.Ger. TG, RBOG 1991, 136; Oger. LU, LGVE 1983 II, 206). Vollstreckungsrichterliche Funktionen kommen der Verwaltungsbehörde nur zu, wenn sie gleichzeitig materiell über den Anspruch entscheidet, ansonsten keine definitive Rechtsöffnung für Verwaltungsverfügungen mehr erteilt werden müsste und Art. 80 Abs. 2 Ziff. 2 und 3 toter Buchstabe wäre. Unzulässig und ein Verstoss gegen die materiellen Rechtskraft der ersten Verfügung wäre es auch, wenn die Verwaltungbehörde, welche vor Einleitung der Betreibung eine Verfügung erlassen hat, diese nach erhobenem Rechtsvorschlag materiell bestätigt, um gleichzeitig den Rechtsvorschlag beseitigen zu können (Oger OW, AB 1994/95, 20). Ebenso unzulässig ist es, vor Einleitung der Betreibung eine materielle Verfügung zu erlassen, in welcher ein allfälliger künftiger Rechtsvorschalg beseitigt wird, da hierbei die Betreibung noch gar nicht bezeichnet werden kann (Oger. OW, AB 1994/95, 19f). Die Kompetenz, einen Rechtsvorschlag zu beseitigen, steht aufgrund des Wortlautes von Art. 79 der verfügenden Behörde nur zu, nachdem der betrieben Rechtsvorschlag erhoben hat. Aus dem gleichen Grund kann auch ein Zivilrichter in einem Urteil vor Anhebung der Betreibung nicht einen künfitgen Rechtsvorschlag beseitigen. Dies gilt auch im Bereich der Mehrwertsteuer, wo die Eidgenössische Steuerverwaltung gem. Art. 57 Abs. 3 MWStV als zuständig bezeichnet wird, einen Rechtsvorschlag zu beseitigen, diese Möglichkeit hat sie nur, wenn noch keine rechstkräftige Verfügung vorliegt, die Verodnung kann das SchKG als Bundesgesetz nicht derogieren. Aus dem Erfordernis, dass die Verwaltungsbehörde nur dann den Rechtsvorschlag beseitigen kann, wenn sie erst nach dem Rechtsvorschlag über den in Betreibung gesetzten Anspruch eine materielle Verfügung erlässt, schränkt den Anwendungsbereich dieser Praxis ein. Der in Betreibung gesetzte Anspruch muss nämlich schon zum Zeitpunkt der Zustellung des Zahlungbefehls fällig sein (N 10). Ist dies nicht der Fall, darf die Verwaltungsbehörde in der nachfolgenden Betreibung den Rechtsvorschalg nicht beiseitigen (Oger. LU, LGVE 1983 II, 208). Das Vorgehen gem. art. 79 kann auch durch das offentliche Recht ausgeschlossen werden. Steuerforderungen werden zwar üblicherweise auf ein bestimmtes Datum hin fällig, auch wenn sie noch nicht veranlagt worden sind, doch verlangen üblicherweise die Steuergesetzte, dass die Steuerforderungen zuerst durch Verfügung festzusetzen sind, bevor sie in Betreibung gesetzt werden können (Adler, 258). Das Verfahren nach Art. 79 wird hingegen häufig von Krankenkassen (Art. 88 Ab. 2 KVG, vormals Art. 30 Abs. 4 aKUVG; BGE 119 V 331; 109 V 49 f.; 107 III 62) aber auch bei der Mehrwertsteuer gem. Art. 57 Abs. 3 MWStV eingeschlagen, da hier die Forderung schon vor dem Erlass einer Verfügung fällig wird. Zulässig ist das Verfahern gem art. 79 auch im Bereich der übrigen Sozialversicherungen, doch bedarf es hier triftiger Gründe, um eine Betreibung vor Erlass einer Verfügung einzuleiten (Adler, 258)." (sottolineature del redattore)</w:t>
      </w:r>
    </w:p>
    <w:p>
      <w:r>
        <w:rPr>
          <w:b/>
        </w:rPr>
        <w:t>E. 5</w:t>
      </w:r>
    </w:p>
    <w:p>
      <w:r>
        <w:t>Alla luce di quanto sopra esposto,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per ciò che concerne la fattispecie, sulla base di una decisione cresciuta in giudicato.</w:t>
      </w:r>
    </w:p>
    <w:p>
      <w:r>
        <w:rPr>
          <w:b/>
        </w:rPr>
        <w:t>E. 6</w:t>
      </w:r>
    </w:p>
    <w:p>
      <w:r>
        <w:t>Da quanto precede emerge che il Tribunale Cantonale delle Assicurazioni non è competente a statuire sull’istanza di rigetto dell’opposizione inoltrata dall’assicuratore sociale. Gli atti vanno quindi trasmessi alla competente Pretura di __________ per il relativo giudizio. Non si percepiscono tasse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