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36.2006.47 vom 16. Juni 2005</w:t>
      </w:r>
    </w:p>
    <w:p>
      <w:r>
        <w:t>TI Tribunale d'appello, 2005-06-16, IT</w:t>
      </w:r>
    </w:p>
    <w:p>
      <w:r>
        <w:rPr>
          <w:b/>
        </w:rPr>
        <w:t xml:space="preserve">Quelle: </w:t>
      </w:r>
      <w:r>
        <w:t>https://mcp.opencaselaw.ch/entscheid/ti_gerichte_36.2006.47</w:t>
      </w:r>
    </w:p>
    <w:p>
      <w:r>
        <w:t>FR: TI_GERICHTE 36.2006.47 du 16 juin 2005</w:t>
      </w:r>
    </w:p>
    <w:p>
      <w:r>
        <w:t>IT: TI_GERICHTE 36.2006.47 del 16 giugno 2005</w:t>
      </w:r>
    </w:p>
    <w:p>
      <w:pPr>
        <w:pStyle w:val="Heading2"/>
      </w:pPr>
      <w:r>
        <w:t>Regeste</w:t>
      </w:r>
    </w:p>
    <w:p>
      <w:r>
        <w:t>ricorso irricevibile per tardività.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ha rilevato che: “(…) 11. Non è tuttavia da escludere che la partecipazione dell’assicuratore malattie debba in ultima analisi essere superiore a quella accordata alla ricorrente, ritenuto come la stessa avrebbe potuto anche farsi operare presso la __________ di __________ (con la tecnica computer assistita). In questo caso l’assicuratore avrebbe verosimilmente dovuto assumersi la tariffa per l’intervento di protesi totale di ginocchio di CHF 10'347 (__________) in aggiunta alla tariffa giornaliera forfetaria di CHF 266.- per un totale di CHF 14'603.-, e non di soli CHF 5'400.-, importo accordato dall’assicuratore. Si ritiene quindi che l’assicuratore debba essere invitato a partecipare alla procedura (RAMI 5/2003 KV 254, p. 234 ss, cons. 5.4). (doc. V) Interpellato in merito l’assicuratore afferma di aver applicato l’art. 41 cpv. 3 LAMal e l’allegato 2 della __________ e __________ del 03 dicembre 2004 che prevedeva, per le ospedalizzazioni del 2005, una tariffa di fr. 360.—al giorno all’Ospedale __________ di __________, nosocomio più vicino al domicilio dell’interessata. In concreto oggetto del contendere è tuttavia unicamente la questione a sapere se l’intervento subito dall’insorgente nei mesi di maggio-giugno 2005 poteva essere effettuato in Ticino oppure no. L’applicazione della tariffa e il calcolo dell’importo che la Cassa intende rimborsare esula dalla procedura in esame. Tuttavia, considerato che l’insorgente nel proprio ricorso accenna anche alla questione dei costi, concludendo che “ a noi sembra logico che la Cassa Malati paghi le</w:t>
      </w:r>
    </w:p>
    <w:p>
      <w:r>
        <w:rPr>
          <w:b/>
        </w:rPr>
        <w:t>E. 2</w:t>
      </w:r>
    </w:p>
    <w:p>
      <w:r>
        <w:t>operazioni con la deduzione di eventuali differenze, come promesso telefonicamente .”, __________, a cui la presente sentenza va notificata quale parte cointeressata, è invitata ad emettere una decisione formale in merito, contro la quale l’assicurata potrà presentare opposizione e, semmai, se non sarà soddisfatta, interporre ricorso al TCA.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