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36.2006.254 vom 3. September 2007</w:t>
      </w:r>
    </w:p>
    <w:p>
      <w:r>
        <w:t>TI Tribunale d'appello, 2007-09-03, IT</w:t>
      </w:r>
    </w:p>
    <w:p>
      <w:r>
        <w:rPr>
          <w:b/>
        </w:rPr>
        <w:t xml:space="preserve">Quelle: </w:t>
      </w:r>
      <w:r>
        <w:t>https://mcp.opencaselaw.ch/entscheid/ti_gerichte_36.2006.254</w:t>
      </w:r>
    </w:p>
    <w:p>
      <w:r>
        <w:t>FR: TI_GERICHTE 36.2006.254 du 3 septembre 2007</w:t>
      </w:r>
    </w:p>
    <w:p>
      <w:r>
        <w:t>IT: TI_GERICHTE 36.2006.254 del 3 settembre 2007</w:t>
      </w:r>
    </w:p>
    <w:p>
      <w:pPr>
        <w:pStyle w:val="Heading2"/>
      </w:pPr>
      <w:r>
        <w:t>Regeste</w:t>
      </w:r>
    </w:p>
    <w:p>
      <w:r>
        <w:t>Richiesta di un'indennità per perdita di guadagno in caso di malattia. Esame degli atti medici. Anticipo delle prestazioni da parte dell'assicuratore contro le malattie in caso di richiesta di prestazioni all'assicurazione per l'invalidità.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nel merito 2.   Oggetto del contendere è la questione a sapere se la Cassa ha agito correttamente sopprimendo ogni diritto ad indennità giornaliere per il ricorrente dal 18 ottobre 2006. 3.   Giusta l'art. 72 cpv. 1 LAMal gli assicuratori stabiliscono l’ammontare dell’indennità giornaliera assicurata d’intesa con gli stipulanti l’assicurazione. Essi possono limitare la copertura alla malattia e alla maternità.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E’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A norma dell’art. 72 cpv. 6 LAMal l’articolo 19 LPGA è applicabile unicamente se il datore di lavoro ha partecipato al finanziamento dell’assicurazione d’indennità giornaliera. Sono fatti salvi altri accordi contrattuali. 4.   Secondo la giurisprudenza sviluppatasi sull'art. 12bis cpv. 1 LAMI - applicabile anche all'attuale art. 72 LAMal ( RAMI 1998 KV 45 pag. 430) - viene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Schweizerisches Sozial- versicherungsrecht, T. I, pag. 286 segg.). L'art. 6 LPGA prevede che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Il TFA ha rammentato che la giurisprudenza sviluppata in precedenza vale anche vigente LPGA (STFA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In relazione alle conseguenze economiche dell'incapacità lavorativa, va ricordato che anche nell'ambito dell'assicurazione contro le malattie vige il principio -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pag. 71 e dottrina ivi citata). 5.   L’assicuratore ritiene che l’interessato sia in grado di svolgere un’attività lavorativa confacente al suo stato di salute al 100% e sembra mettere in dubbio gli attestati della dr.ssa __________, medico curante del ricorrente. Da parte sua l’insorgente rileva come tutti i medici siano concordi nel ritenerlo totalmente inabile al lavoro in qualsiasi attività. Nel caso concreto, dagli atti di causa risulta che il ricorrente è stato sottoposto a numerosi accertamenti medici. Con certificato del 18 agosto 2005 il Dr. medico __________, medicina generale, medico omeopata FMH, ha attestato che l’insorgente è inabile al 100% dal 10 giugno 2005 per uno “ stato ansioso-depressivo reattivo al posto di lavoro ” ed ha proposto un trattamento ansiolitico con poco successo (doc. 8). Il 14 novembre 2005 l’ispettrice dei sinistri della Cassa malati ha reso visita all’assicurato (doc. 21). Dal rapporto emerge che l’insorgente, inabile al lavoro al 100% per disturbi psichici provocati da una situazione lavorativa disastrosa, dopo un inverno in disoccupazione aveva ritrovato un impiego in un albergo. Anche se sottopagato di almeno fr. 1'000, ha accettato l’offerta pur di poter svolgere un’attività. L’insorgente ha spiegato che ha lavorato in un albergo di 70 camere, con 140 letti, gestito da solo 4 impiegati poiché il proprietario voleva tenere la struttura aperta un’ultima stagione senza finanziare alcuna manutenzione. Tant’è che per risparmiare sul riscaldamento l’interessato doveva lavorare 10 ore al giorno in un locale con temperature di 5°, ciò che lo ha portato ad ammalarsi di prostatite, per la quale, nel novembre 2005 era ancora in cura. A causa del pessimo stato delle camere, delle basse temperature e delle conseguenti lamentele della clientela, l’interessato ha proposto delle migliorie al direttore, il quale le ha tutte categoricamente respinte. Sentitosi inascoltato, il ricorrente è caduto in depressione. Il 23 dicembre 2005 il Dott. med. __________, FMH medicina interna e medicina manuale, medico fiduciario della Cassa, dopo aver rilevato la presenza di uno stato ansio-depressivo e di una prostatite, ha concluso che “ siamo confrontati con un paziente che probabilmente, a causa di problemi sul posto di lavoro precedente, è caduto in depressione. La situazione risulta aggravata visto che il paziente aveva già dei problemi di depressione prima. Ritengo che attualmente sia una fase poco stabile per una valutazione. ” ed ha proposto una visita presso una specialista (doc. 24). Il</w:t>
      </w:r>
    </w:p>
    <w:p>
      <w:r>
        <w:rPr>
          <w:b/>
        </w:rPr>
        <w:t>E. 4</w:t>
      </w:r>
    </w:p>
    <w:p>
      <w:r>
        <w:t>Terapia psichiatrica attuale Psicoterapia con la dr.ssa __________ di __________ con colloqui ogni 2 settimane o più quando necessario. (…)</w:t>
      </w:r>
    </w:p>
    <w:p>
      <w:r>
        <w:rPr>
          <w:b/>
        </w:rPr>
        <w:t>E. 5</w:t>
      </w:r>
    </w:p>
    <w:p>
      <w:r>
        <w:t>Diagnosi Diagnosi con ripercussioni sulla capacità di lavoro Disturbo di personalità emotivamente instabile di tipo borderline (ICD 10: F60.31). Sindrome da disadattamento/Reazione mista ansioso depressiva (ICD 10: F 43.22).</w:t>
      </w:r>
    </w:p>
    <w:p>
      <w:r>
        <w:rPr>
          <w:b/>
        </w:rPr>
        <w:t>E. 6</w:t>
      </w:r>
    </w:p>
    <w:p>
      <w:r>
        <w:t>Valutazione e prognosi (….) La situazione attuale vede un progressivo seppur lieve miglioramento degli aspetti ansioso depressivi, ma considerando il disturbo di personalità non possiamo non tener conto del fatto che la sottostante vulnerabilità personale diverrebbe fonte di nuovi scompensi, qualora i fattori stressanti si presentassero. Tutto ciò in ambito professionale e ci permette di considerare la possibilità di una ripresa lavorativa dell’A., non più però nello stesso ambiente di lavoro, ma in uno nuovo dove non si verifichino turni irregolari, tensione con colleghi o superiori, diretto contatto con i soldi, eccessive responsabilità, necessità di mantenere l’attenzione e concentrazione a livelli elevati (calcoli, burocrazia, eccetera) e che non si basi sulla necessità di mostrare al mondo un’immagine di sé “impeccabile” soprattutto nella relazione con il cliente, come nel caso del cameriere. A tal proposito riteniamo indicato e sostenibile al momento attuale da parte dell’A., lo svolgimento di un progetto di riqualifica professionale, che tenga conto di tutti gli elementi finora riportati. L’A., oltre ad essere egli stesso d’accordo rispetto a tale possibilità, riferisce di amare la natura, gli spazi aperti, il lavoro manuale, il contatto con la terra e con le piante e riteniamo pertanto essere una ragionevole possibilità quella di una riqualifica professionale come giardiniere. B. Conseguenze sulla capacità di lavoro (….) La limitazione riguarda essenzialmente aspetti qualitativi della precedente mansione lavorativa, descritti sopra, che aggravano e precipitano il quadro depressivo impedendo l’ottenimento di uno stato di compenso psicopatologico. A causa del quadro psicopatologico descritto l’A., è inabile all’attività lavorativa in misura completa. 2.2. L’attività attuale è ancora praticabile? L’attività di cameriere, in ragione dei compiti previsti e del tipo di disturbi presentati dall’A. (confronta valutazione e prognosi) non è più praticabile. 2.3. E’ constatabile una diminuzione della capacità di lavoro? SI 2.4. Da quando esiste una limitazione della capacità di lavoro provata a livello medico-teorico di almeno il 20%? Si, in misura completa dal giugno 2005. C. conseguenze sulla capacità d’integrazione 1. E’ possibile effettuare provvedimenti d’integrazione? Ve ne sono in corso? Ne sono previsti? Non sono attualmente in corso provvedimenti d’integrazione, ma riteniamo indicato un percorso di riqualifica professionale. 2. E’ possibile migliorare la capacità di lavoro sul posto di lavoro attuale? No, in quanto l’attività svolta nel ramo alberghiero, a seguito di punti sopra discussi, ha portato allo sviluppo del quadro psicopatologico. 3. L’assicurato è in grado di svolgere altre attività? Sì, l’assicurato è in grado al momento attuale di svolgere altre attività che non comportino turni irregolari o notturni, ambiente di lavoro teso, diretta gestione dei soldi, eccesso di responsabilità, necessità di mantenere a livelli elevati e per lunghi periodi di attenzione e concentrazione e che non richieda il mantenimento costante di una immagine di sé “perfetta”.” (sottolineatura del redattore) Infine, il Dr. __________, medico SMR, interpellato per sapere da quando vi è una capacità lavorativa in attività adatte e in quale percentuale, ha confermato l’inabilità totale nella precedente attività di cameriere dal giugno 2005. Per quanto concerne le conseguenze sulla capacità di lavoro/d’integrazione lo specialista ha affermato: " La limitazione riguarda essenzialmente aspetti qualitativi della precedente mansione lavorativa, descritti sopra, che aggravano e precipitano il quadro depressivo impedendo l’ottenimento di uno stato di compenso psicopatologico. A causa del quadro psicopatologico l’A è inabile al lavoro in misura completa. Si ritiene indicato e sostenibile dall’A lo svolgimento di un progetto di riqualifica professionale, che tenga conto di tutti i limiti sopra riportati. Considerando i gusti dell’A, sarebbe proponibile una riqualifica professionale come giardiniere. Non è possibile migliorare la CL sul posto attuale, in quanto l’attività svolta nel ramo alberghiero ha portato allo sviluppo del quadro psicopatologico. L’A è in grado di svolgere altre attività, che rispettino i limiti funzionali sopra descritti, e ciò a partire dalla data della presente perizia”. (sottolineatura del redattore) 6.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26 agosto 2004 nella causa S., I 355/03, consid. 5; STFA del 25 febbraio 2003 nelle cause 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come detto, per le perizie fatte esperire da medici esterni (DTF 104 V 31; RAMI 1993 pag.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Va qui inoltre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w:t>
      </w:r>
    </w:p>
    <w:p>
      <w:r>
        <w:rPr>
          <w:b/>
        </w:rPr>
        <w:t>E. 7</w:t>
      </w:r>
    </w:p>
    <w:p>
      <w:r>
        <w:t>Chiamato ora a pronunciarsi, questo Tribunale ritiene che dalle valutazioni dei medici che si sono espressi in merito alla situazione valetudinaria dell’insorgente emerge che l’interessato, fino alla data della perizia AI, ossia fino all’11 aprile 2007 (quando è stato visitato dalla specialista), era inabile al lavoro al 100% in qualsiasi attività lavorativa. Innanzitutto sia il Dr. med. __________ (“ IL 100% dal 10-6-05, continua ” per uno “ stato ansioso-depressivo reattivo al posto di lavoro ”), sia la dr.ssa med. __________ (“ Abilità lavorativa: 0% ” e prognosi: “ favorevole ma non a breve scadenza e condizionata da una presa a carico psicoterapica nonché psicofarmacologica antidepressiva ed eventualmente ansiolitica .”), sia il dr. med. __________ (“ in base alla documentazione in mio possesso, sono del parere che la valutazione da parte della Dr.ssa __________ sia giustificata e l’indicazione per una presa a carico psichiatrica, sia indicata. ”), sia la dr.ssa __________ (“ il paziente presenta tutt’ora [ndr: 12 luglio 2006] una sintomatologia ansioso-depressiva assai importante che non gli permette attualmente nessun’attività lavorativa; nemmeno a tempo parziale. ”), giungono alla medesima conclusione, ossia un’inabilità totale in ogni attività perlomeno fino al mese di agosto 2006. Dagli atti AI emerge poi che il 16 agosto 2006 la dr.ssa __________ ha compilato un rapporto medico per l’UAI con il quale certifica un’inabilità lavorativa al 100% e consiglia una riqualifica professionale non ritenendo più il settore alberghiero idoneo alla ripresa lavorativa dell’assicurato e che peraltro sarebbe in grado di svolgere altre attività (cfr. perizia AI), mentre il 9 novembre 2006, la stessa dr.ssa __________ aveva suggerito all’assicuratore AI la possibilità di una prova di tre mesi in un’altra professione, per valutare le sue capacità e suoi limiti, sottolineando tuttavia che il paziente “ non si sente ancora pronto per fare una prova di sei mesi. ” In seguito a queste considerazioni l’UAI ha fatto esperire una perizia psichiatrica da cui è emersa la possibilità di svolgere altre attività ma solo dalla data del referto peritale, o meglio dalla visita con la perita. Infatti, sia la specialista in psichiatria Dr.ssa __________, sia il medico SMR, dr. __________, hanno ritenuto il ricorrente completamente abile in attività confacenti al suo stato di salute a partire dalla perizia (cfr. presa di posizione del 9 maggio 2007 del dr. __________ e sottolineatura dei passaggi della perizia sopra riportata). Questo Tribunale non vede ragioni per non far proprie le chiare conclusioni della perizia dell’UAI e la successiva presa di posizione del medico SMR (cfr. sulla valenza delle prese di posizione del medico SMR la citata STF 24 agosto 2006 nella causa B. [I 938/05]). In particolare la perizia, maggiormente approfondita rispetto alle precedenti prese di posizione dei medici poiché prende in considerazione sia gli atti medici raccolti dall’assicuratore, sia gli attestati prodotti in ambito AI, chiarisce che, a partire dal momento della visita presso il centro peritale, l’insorgente è abile al lavoro in altre attività lucrative confacenti al suo stato di salute. Il referto, fatto allestire dall’____________________, e la presa di posizione del medico SMR circa la data a partire dalla quale un’attività è esigibile è inoltre successivo alle valutazioni degli altri specialisti, e la perita ha potuto constatare personalmente, e dunque direttamente, la possibilità di svolgere un’altra attività. Per cui, richiamata la suesposta giurisprudenza in materia di valore probatorio di rapporti medici (consid. 6), questo Tribunale decide di far proprie le conclusioni a cui sono giunti la perita ed il medico SMR, i quali hanno valutato compiutamente tutta la documentazione medica agli atti giungendo ad una conclusione logica e priva di contraddizioni in merito alla capacità di esercitare un’altra attività lavorativa. Alla luce di quanto sopra esposto questo Tribunale deve pertanto concludere che l’insorgente, fino all’11 aprile 2007, era completamente inabile al lavoro in qualsiasi attività. Va qui evidenziato come l’assicuratore da parte sua confonde l’episodio depressivo attuale e gli avvenimenti del 1995, laddove afferma che l’insorgente avrebbe interrotto la cura psichiatrica. In realtà, la frase “ preso a carico dal servizio __________ di __________ il signor RI 1 ha interrotto la cura ” si riferisce a quanto successo nel 1995. Infatti la stessa fiduciaria della Cassa, nel referto del 4 febbraio 2006 ha affermato, a proposito dell’episodio del 1995, che l’insorgente è stato in cura presso “ l’__________ di __________ che egli dopo poco tempo ha abbandonato non essendosi apparentemente sentito preso sufficientemente sul “serio” ”, mentre attualmente “ mi sono permessa in tal senso di sensibilizzare l’assicurato nonostante la sua precedente delusione all’__________ di __________ in passato, proposta accettata di buon grado (l’ho segnalato ad una collega psichiatra del __________). ” (cfr. anche perizia AI punto 1.3, pag. 4). Inoltre, l’assicuratore insiste sulla circostanza che il ricorrente avrebbe interrotto la cura psichiatrica dalla Dr.ssa __________ dal 12 dicembre 2006. In realtà nella perizia dell’AI, cui la convenuta ha avuto accesso, figura quale terapia psichiatrica attuale la “ psicoterapia con la dr.ssa __________ di __________ con colloqui ogni 2 settimane o più quando necessario .” (perizia pag. 5 punto 4). Infine, laddove la Cassa afferma che “ è dunque sorprendente che dopo il suo licenziamento, l’assicurato è sempre stato inabile al lavoro al 100%” , l’assicuratore mette in dubbio non solo le affermazioni dei due medici curanti, tra cui una specialista, ma anche dei due medici fiduciari, scelti dal medesimo assicuratore, che giungono alla stessa conclusione. 8.   La Cassa sostiene poi che in virtù dell’art. 18 OAI spetta all’AI versare le indennità giornaliere e non alla Cassa malati, poiché il 17 giugno 2006 il ricorrente ha inoltrato una domanda tendente all’ottenimento di provvedimenti di reintegrazione. A norma dell’art. 17 cpv. 1 LAI l’assicurato ha diritto alla formazione in una nuova attività lucrativa se la sua invalidità esige una riconversione professionale e grazie ad essa la capacità al guadagno può essere presumibilmente conservata o migliorata. L’art. 22 cpv. 1 prima frase LAI prevede che durante l’integrazione l’assicurato ha diritto a un’indennità giornaliera se l’esecuzione dei provvedimenti d’integrazione gli impedisce di esercitare un’attività lucrativa per almeno tre giorni consecutivi o se l’incapacità al lavoro (art. 6 LPGA) nella sua attività abituale raggiunge almeno il 50 per cento. Sulla base di questa delega di competenza il Consiglio federale ha adottato l’art. 18 cpv. 1 OAI (cfr. STFA del 7 agosto 2002, I 705/01), giusta il quale l’assicurato la cui incapacità al lavoro è almeno del 50% e che deve attendere l’inizio di provvedimenti d’integrazione imminenti ha diritto ad un’indennità giornaliera per il periodo di attesa. A norma dell’art. 18 cpv. 2 OAI il diritto all’indennità è riconosciuto nel momento in cui l’ufficio AI, fondandosi sui suoi accertamenti, constata l’opportunità di provvedimenti d’integrazione, al più tardi però quattro mesi dopo la presentazione della domanda. In DTF 129 V 460 il TFA ha stabilito che “ Der Anspruch auf Wartetaggelder der Invalidenversicherung beginnt gemäss Art. 18 Abs. 2 IVV zu dem Zeitpunkt, in welchem die IV-Stelle aufgrund ihrer Abklärungen feststellt, dass Eingliederungsmassnahmen angezeigt sind, spätestens aber vier Monate nach Eingang der Anmeldung. Der Anspruch setzt voraus, dass Eingliederungsmassnahmen ernsthaft in Frage kommen. Nicht erforderlich ist hingegen, dass die Durchführung der Eingliederungsmassnahmen bereits beschlossen ist (vgl. Erw. 4.1 hievor). Liegt demnach eine Anmeldung bei der Invalidenversicherung vor und kommen Eingliederungsmassnahmen ernsthaft in Frage, besteht ein Anspruch auf Wartetaggelder der Invalidenversicherung, dagegen kein solcher auf die weitere Auszahlung von Krankentaggelder. Werden demgegenüber Massnahmen der Invalidenversicherung nicht ernsthaft ins Auge gefasst, und wird daher ein Anspruch auf Wartetaggelder abgelehnt, besteht der Anspruch auf Kankentaggelder weiter. In diesem Fall trifft den Versicherten gegenüber der Krankenkasse eine Schadenminderungspflicht. Dieser Pflicht kann sich der Versicherte indessen nicht mit der Begründung, er warte auf Massnahmen der Invalidenversicherung, entziehen, da solche eben nicht ernsthaft in Erwägung gezogen werden, andernfalls ein Anspruch auf Wartetaggelder der Invalidenversicherung bestünde. “ Con sentenza del 7 agosto 2002 (I 705/01), l’Alta Corte ha affermato che “ Der Anspruch auf das Taggeld während der Wartezeit setzt voraus, dass die versicherte Person in der gewohnten Erwerbstätigkeit im Sinne der Rechtsprechung eine mindestens 50%-ige Arbeitsunfähigkeit aufweist und die Eingliederungsfähigkeit in subjektiver und objektiver Hinsicht soweit rechtsgenüglich erstellt ist, dass Eingliederungsmas-snahmen - und nicht bloss Abklärungsmassnahmen - ernsthaft in Frage kommen. Nicht erforderlich isthingegen, dass die Durchführung der Eingliederungsmassnahmen bereits beschlossen ist (AHI 1997 S. 169 Erw. 3a) .“ In concreto l’insorgente, fino all’11 aprile 2007, era inabile al lavoro in qualsiasi attività. Per cui, non si poteva concludere, al momento dell’emanazione della decisione impugnata del 24 novembre 2006, che l’AI avrebbe sicuramente accordato dei provvedimenti d’integrazione. Del resto, interpellato in merito l’UAI ha affermato che: " (…) con la presente vi comunichiamo che nel formulario ufficiale di richiesta di prestazioni AI il Signor RI 1 ha domandato pure di verificare la possibilità di essere posto al beneficio di provvedimenti di ordine professionale. Sino ad oggi però non abbiamo potuto intraprendere tali misure (e, dunque riconoscere indennità giornaliere) poiché abbiamo dovuto approfondire l’aspetto medico mediante un esame peritale che ci è pervenuto in aprile di quest’anno. Sulla scorta delle conclusioni di tale apprezzamento, che dovranno essere visionate dal nostro servizio medico regionale, potremo decidere la pratica e, più precisamente, in merito ad un eventuale progetto professionale.” (cfr. incarto AI, messo a disposizione delle parti) Sia come sia, va rilevato che a norma dell’art. 70 cpv. 1 LPGA l’avente diritto può chiedere di riscuotere una prestazione anticipata se un evento assicurato fonda il diritto a prestazioni delle assicurazioni sociali ma sussiste un dubbio quanto al debitore delle suddette prestazioni. Per l’art. 70 cpv. 2 lett. a LPGA, sono tenute a versare prestazioni anticipate per le prestazioni in natura e le indennità giornaliere la cui assunzione da parte dell’assicurazione contro le malattie, dell’assicurazione contro gli infortuni, dell’assicurazione militare o dell’assicurazione per l’invalidità è contestata: l’assicurazione contro le malattie. A norma dell’art. 70 cpv. 3 LPGA l’avente diritto deve annunciarsi presso le assicurazioni sociali che entrano in considerazione. Giusta l’art. 71 LPGA l’assicuratore tenuto a versare prestazioni anticipate eroga prestazioni secondo le disposizioni che disciplinano la sua attività. Se il caso è assunto da un altro assicuratore, questi deve rimborsare gli anticipi entro i limiti del suo obbligo di versare prestazioni. In concreto l’assicuratore malattie, non essendo ancora accertato il diritto a prestazioni dell’AI, ma essendo accertata l’inabilità lavorativa completa, doveva comunque anticipare le prestazioni in applicazione dell’art. 70 cpv. 2 lett. a LPGA. Se avesse ritenuto abile al lavoro l’interessato in altre attività confacenti al suo stato di salute, la Cassa avrebbe inoltre dovuto avvisare l’insorgente, dandogli 4 mesi di tempo per cambiare attività (cfr. a questo proposito STFA del 29 giugno 2006, K 64/05) e avrebbe dovuto calcolare il discapito economico in attività adeguate. 9.   Infine, la Cassa accenna all’obbligo di ridurre il danno ed afferma che per 7 mesi l’assicurato avrebbe rifiutato di sottoporsi ad un trattamento. Ora, a prescindere dalla pertinenza dell’argo-mentazione, va comunque evidenziato come l’interessato è stato in cura presso il suo medico curante, dr. med. __________ fin dall’inizio dell’inabilità lavorativa, dove ha seguito i trattamenti proposti. Non va poi dimenticato che l’assicuratore ha atteso la presa di posizione del suo medico di fiducia, in dicembre, prima di sottoporre l’assicurato ad una visita fiduciaria e che, anche in questo caso, l’assicurato si è poi sottoposto ai trattamenti richiesti. 10.   Alla luce di tutto quanto esposto, il ricorso va accolto, nel senso che la Cassa è tenuta a versare le indennità giornaliere anche dopo il 18 ottobre 2006. Nella misura in cui l’11 aprile 2007 (data del colloquio della perita con il ricorrente e dell’inizio della completa abilità lavorativa in altre attività) il diritto alle prestazioni non era ancora esaurito (cfr. art. 72 cpv. 3 LAMal e CGA), spetta alla Cassa, conformemente alle norme sull’obbligo di ridurre il danno, e sempre tenendo conto della possibilità di un esaurimento delle prestazioni, concedere all’assicurato, dal 12 aprile 2007, almeno 4 mesi di tempo per procedere al cambio di professione (cfr. a questo proposito STFA del 29 giugno 2006, K 64/05) e calcolare l’eventuale danno residuo. 11.   Con il ricorso l’assicurato ha chiesto di essere posto al beneficio dell’assistenza giudiziaria con gratuito patrocinio. V isto l'esito favorevole del ricorso, l'insorgente, patrocinato da un legale, ha diritto al versamento da parte della Cassa malati delle ripetibili. Secondo la costante giurisprudenza del TFA l’assegnazione di ripetibili rende priva d'oggetto l'istanza di assistenza giudiziaria con gratuito patrocinio (DTF 124 V 309 consid. 6, STFA del 9 aprile 2003 nella causa C., U 164/02 e STFA del 18 agosto 1999 nella causa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