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36.2006.111 vom 25. Januar 2007</w:t>
      </w:r>
    </w:p>
    <w:p>
      <w:r>
        <w:t>TI Tribunale d'appello, 2007-01-25, IT</w:t>
      </w:r>
    </w:p>
    <w:p>
      <w:r>
        <w:rPr>
          <w:b/>
        </w:rPr>
        <w:t xml:space="preserve">Quelle: </w:t>
      </w:r>
      <w:r>
        <w:t>https://mcp.opencaselaw.ch/entscheid/ti_gerichte_36.2006.111</w:t>
      </w:r>
    </w:p>
    <w:p>
      <w:r>
        <w:t>FR: TI_GERICHTE 36.2006.111 du 25 janvier 2007</w:t>
      </w:r>
    </w:p>
    <w:p>
      <w:r>
        <w:t>IT: TI_GERICHTE 36.2006.111 del 25 gennaio 2007</w:t>
      </w:r>
    </w:p>
    <w:p>
      <w:pPr>
        <w:pStyle w:val="Heading2"/>
      </w:pPr>
      <w:r>
        <w:t>Regeste</w:t>
      </w:r>
    </w:p>
    <w:p>
      <w:r>
        <w:t>Indennità giornaliera in caso di malattia retta dal diritto privato. Prescrizione. Passaggio nell'assicurazione individuale.</w:t>
      </w:r>
    </w:p>
    <w:p>
      <w:pPr>
        <w:pStyle w:val="Heading2"/>
      </w:pPr>
      <w:r>
        <w:t>Erwägungen</w:t>
      </w:r>
    </w:p>
    <w:p>
      <w:r>
        <w:rPr>
          <w:b/>
        </w:rPr>
        <w:t>E. 1</w:t>
      </w:r>
    </w:p>
    <w:p>
      <w:r>
        <w:t>I crediti derivanti dal contratto di assicurazione si prescrivono in due anni dal fatto su cui è fondata l'obbligazione. L'articolo 41 della legge federale del 25 giugno 1982 sulla previdenza professionale per la vecchiaia, i superstiti e l'invalidità è riservato.</w:t>
      </w:r>
    </w:p>
    <w:p>
      <w:r>
        <w:rPr>
          <w:b/>
        </w:rPr>
        <w:t>E. 2</w:t>
      </w:r>
    </w:p>
    <w:p>
      <w:r>
        <w:t>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w:t>
      </w:r>
    </w:p>
    <w:p>
      <w:r>
        <w:rPr>
          <w:b/>
        </w:rPr>
        <w:t>E. 7</w:t>
      </w:r>
    </w:p>
    <w:p>
      <w:r>
        <w:t>Mai 1997 geschehen, sodass die Forderung am 23. Juni 1999, als der Kläger an den Vermittler gelangte, bereits verjährt gewesen sei. (…)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 68 II 106 E. 1 ;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(BGE 100 II 42 ff.), und der Fristenlauf für die Verjährung einer Invaliditätsentschädigung beginnt mit jenem Tag, an welchem feststeht, dass eine Invalidität vorhanden ist (BGE 118 II 447 ff.). Eine wegen Erwerbsunfähigkeit geschuldete Rente aus Versicherungsvertrag verjährt bei jedem Unfallereignis in zwei Jahren seit dem Unglücksfall (BGE 111 II 501; SJ 1986 S. 513). In der Haftpflichtversicherung wird ebenfalls nicht auf das befürchtete Ereignis abgestellt, sondern auf jenen Zeitpunkt, wo die Haftpflicht der versicherten Person gerichtlich festgestellt wird ( BGE 61 II 197; 68 II 106 ). In der Rechtsschutzversicherung beginnt die Verjährung, sobald der Bedarf nach Rechtsschutz aufkommt, was in der Regel dann der Fall ist, wenn sich der Rechtsstreit zwischen dem Versicherten und dem Dritten konkret abzeichnet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2.5.   Nell’ambito dell’assicurazione di indennità giornaliera in caso di malattia la prestazione, laddove deriva dalla medesima incapacità lavorativa, si prescrive complessivamente in due anni a partire dal momento in cui è scaturito l’obbligo di indennizzare (DTF 127 III 268). In concreto l’art. __________ delle CGA prevede che lo stipulante invia entro 3 giorni dal differimento concordato un attestato di incapacità lavorativa rilasciato dal medico curante. In caso di incapacità lavorativa prolungata, la persona assicurata ha l’obbligo di presentare ogni mese un certificato intermedio. In caso di comunicazione tardiva non giustificabile, il diritto alle prestazioni assicurative sussiste al più presto dal momento in cui tale comunicazione perviene all’assicuratore. Per cui anche nel caso di specie la prescrizione scaturisce dall'incapacità lavorativa comprovata da un attestato medico e dal decorso del termine di attesa convenzionale. L’attrice ha immediatamente fatto valere i suoi diritti nei confronti del precedente assicuratore dopo l’inizio della malattia il 6 maggio 2003. Prova ne è che questi ha regolarmente versato le prestazioni pattuite. L’erogazione delle indennità è proseguita anche nel periodo dal 1.1.2004 al 31.1.2004, quando era già subentrato il nuovo assicuratore In queste condizioni il rapporto giuridico di base (“ Stammrecht ”) non è ancora prescritto. Come si vedrà in seguito l’attrice non ha comunque diritto ad ulteriori indennità giornaliere. Per cui non va esaminata oltre la questione a sapere se è la pretesa per il periodo 1.2.2004-28.3.2004 è prescritta, ritenuto che il primo atto interruttivo della prescrizione (domanda esecutiva) è del 29 marzo 2006 (cfr. art. 135 cifra 2 CO e 46 LCA). 2.6.   Posto che la richiesta di pagamento di indennità giornaliere non è prescritta, va ora esaminato se l’assicuratore, a ragione, ha rifiutato il passaggio nell’assicurazione individuale. Va osservato che se l’evento sorge durante il periodo di copertura assicurativa collettiva d’indennità giornaliera,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 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 2.7.   In concreto l’art. __________ delle condizioni generali d’assicurazione (CGA), prevede che per il singolo assicurato, l’assicurazione cessa, tra l’altro, quando egli esce dalla cerchia degli assicurati; in questo caso l’obbligo di versare prestazioni cessa completamente. Per l’art. __________ CGA ogni assicurato che abiti in Svizzera può, entro 30 giorni, passare nell’assicurazione individuale se egli esce dalla cerchia degli assicurati, all’estinzione del contratto o se egli è considerato disoccupato ai sensi dell’art. 10 LADI. Gli assicurati disoccupati hanno il diritto di optare per un periodo di differimento di 30 giorni con importo d’indennità giornaliera invariato, in cambio di un adeguato adattamento del premio. A norma dell’art. __________ CGA lo stipulante (ndr: in concreto il datore di lavoro) è tenuto ad informare l’assicurato uscente in merito al suo diritto di passaggio nonché alle relative scadenze. Va qui evidenziato come invece in ambito di assicurazioni sociali,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Questa norma non si applica tuttavia al caso di specie. Infatti l’art. 100 cpv. 2 LCA prevede un’applicazione per analogia agli assicurati considerati disoccupati ai sensi dell’art. 10 LADI degli art. 71 cpv. 1 e 73 LAMal, ma non dell’art. 71 cpv. 2 LAMal. Nel caso di specie l’evento assicurato è sorto quando l’attrice era ancora assicurata presso la convenuta. L’interessata non ha però fatto valere il libero passaggio nell’assicurazione individuale. Nella petizione essa fa valere di non essere mai stata informata in merito a tale facoltà. Ancora nelle osservazioni del 15 agosto 2006 l’interessata ha infatti ribadito che “ non risulta in alcuna della documentazione agli atti che la signora AT 1 sia stata posta a conoscenza del termine, segnatamente della perentorietà del termine per passare dall’assicurazione collettiva a quella individuale . Nei fatti si ribadisce che la medesima non ha ricevuto comunicazione né scritta né orale di tale suo diritto e dei termini della medesima. ” L’attrice, con riferimento ai doc. L e N,  afferma comunque di aver implicitamente chiesto il passaggio nell’assicurazione individuale. Inoltre con gli scritti del 29 marzo 2006 e del 31 marzo 2006, il rappresentante afferma di aver, perlomeno implicitamente, fatto valere il passaggio nell’assicurazione individuale (doc. XII). 2.8.   In concreto la convenuta è subentrata al precedente assicuratore con effetto dal 1. gennaio 2004. Il 16 gennaio 2004 l’assicuratore ha scritto all’attrice affermando che “ alfine di prendere visione dell’incarto e degli atti medici relativi al suo caso di malattia alla Spettabile __________, la preghiamo di voler firmare e ritornare l’annessa procura nel minor tempo possibile. “ (doc. L) Il 6 aprile 2004 la convenuta, dopo aver visionato gli incarti, ha nuovamente scritto all’attrice quanto segue: " (…) a partire dal 06.05.2003 lei percepisce delle indennità giornaliere a carico dell’assicurazione malattie e a questo proposito, le comunichiamo quanto segue: chiunque sia stato inabile al lavoro almeno in misura del 40%, già dopo 10 mesi ha diritto ad inoltrare una richiesta di prestazioni all’assicurazione invalidità (AI). Visto che la sua incapacità lavorativa si prolunga ormai da diverso tempo si rende necessario un annuncio presso l’AI: se tale domanda non fosse già avvenuta la preghiamo di voler procedere immediatamente in tal senso e trasmettercene una copia. In caso di concomitanza di prestazioni da parte di altri enti assicurativi (Assicurazione invalidità, cassa pensione LPP o altre rendite), risulta generalmente un sovraindennizzo; in altre parole la somma cumulata da queste assicurazioni eccede la perdita di guadagno totale che lei subisce in seguito all’incapacità lavorativa dovuta a malattia. Conformemente alle condizioni generali d’assicurazione (CGA art. __________), in questi casi, riduciamo di conseguenza l’ammontare delle nostre indennità giornaliere a decorrere dalla nascita del diritto alla rendita. Visto quanto precede, per il periodo relativo all’introduzione retroattivo di prestazioni AI, vincoliamo un nostro anticipo d’indennità giornaliera a: 1. L’avvenuto inoltro di una richiesta di prestazioni AI 2. Il suo impegno a segnalarci senza indugio ogni decisione dell’AI. 3. La sottoscrizione della convenzione sottostante con cui dichiara di accettare che il sovraindennizzo risultante dalle indennità giornaliere che le abbiamo versato a partire dalla nascita del diritto alla rendita, venga dedotto dai pagamenti retroattivi AI, nella misura in cui questi superano il 100% della sua perdita di guadagno effettiva. La preghiamo pertanto di firmare la copia allegata alla presente e di ritornarcela per mezzo dell’annessa busta-risposta. (….) Clausola di accettazione/convenzione Ho preso atto che la CV 1 mi anticiperà le prestazioni di indennità giornaliera conformemente al contratto stipulato fino alla notifica della decisione dell’AI (assicurazione invalidità). In caso di sovrassicurazione successiva all’introduzione di prestazioni AI, autorizzo la CV 1 a compensare in corrispondente misura le indennità giornaliere anticipate con i pagamenti retroattivi di detta istituzione. Autorizzo pure il versamento di tale importo dall’AI direttamente alla CV 1 Assicurazione.” (doc. N) Il 26 maggio 2004 l’attrice, per il tramite di un sindacato, ha trasmesso alla Cassa il formulario “ certificato medico di inabilità lavorativa ” (doc. 12), con allegata l’attestazione del medico curante circa la continuazione dell’inabilità perlomeno fino al mese di maggio 2004. Sulla base della sopra citata documentazione a giusta ragione la Cassa ha costatato che l’attrice non ha fatto valere il diritto al libero passaggio entro 30 giorni dalla fine del rapporto di lavoro (31 gennaio 2004: cfr. petizione doc. I: “ Peraltro non può essere contestato che la convenuta fosse perfettamente a conoscenza del fatto che dal 1.2.2004 la signora AT 1 avesse cessato la propria attività presso la __________ ”) e nemmeno successivamente. Non può neppure essere ritenuta una valida richiesta quella trasmessa il 29 marzo 2006 dal rappresentante dell’attrice all’assicuratore, dove non vi è cenno ad un’eventuale richiesta, comunque tardiva, di libero passaggio (doc. P), così come nel successivo scritto del 31 marzo 2006 laddove afferma che “ non corrisponde al vero che la signora AT 1 sia mai stata avvisata dovutamente del suo diritto di disporre di una copertura individuale. Se ciò fosse stato lo avrebbe fatto, stante la circostanza che è sempre stata inabile al lavoro in misura completa. ” (doc. Z). Del resto, entrambe le lettere sono state trasmesse ben oltre il termine di trenta giorni dalla fine del rapporto di lavoro entro il quale la richiesta andava fatta. Il diritto di cui beneficiava l’attrice non è stato tempestivamente esercitato. Conseguentemente, la pretesa di condannare l’assicuratore a concedergli il libero passaggio nell’assicurazione individuale d’indennità giornaliera non può essere accolta. La circostanza secondo cui la società per la quale lavorava non l’avrebbe avvisata circa il suo diritto di passaggio nell'assicurazione individuale (cfr. art. __________. CGA, consid. 2.7) non può comportare per l'assicuratore ripercussioni o peggioramenti della sua posizione, quale l'estensione del termine per l'esercizio del diritto al libero passaggio (cfr. STCA del 22 settembre 2005 nella causa A., 36.2004.182). L'assicurata potrà - semmai - agire nei confronti del datore di lavoro in via civile (cfr. STCA del 22 settembre 2005 nella causa A., 36.2004.182). Va abbondanzialmente rilevato che con scritto del 3 novembre 2003 (doc. C prodotto dall’attrice) l’ex datore di lavoro aveva informato l’attrice che “ per quanto attiene alla copertura per perdita di guadagno, le rammentiamo che lei, qualora desiderasse continuare a beneficiare di questa prestazione, dovrà rivolgersi ad un istituto assicurativo e stipulare una polizza assicurativa individuale. ” (doc. C) In queste circostanze la petizione va respinta senza che sia necessario esaminare se l’attrice ha un’inabilità lavorativa che darebbe diritto al versamento delle prestazioni. 2.9.   Le parti fanno un generico riferimento all’assunzione di prove (testi, documenti, interrogatorio formale, perizia medica).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2.10.   L’attrice chiede infine di essere posta a beneficio dell’assistenza giudiziaria. Secondo l’art. 21 cpv. 2 LPTCA la disciplina della difesa d’ufficio e del gratuito patrocinio è retta dalla Legge sul patrocinio d’ufficio e sull’assistenza giudiziaria. La legge cantonale sul patrocinio d'ufficio e sull'assistenza giudiziaria, in vigore dal 30 luglio 2002 (cfr. art. 38 Lag e BU 30/2002 pag. 213 segg.),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2.11.   Secondo la Tabella per il calcolo del minimo d’esistenza agli effetti del diritto esecutivo allestita dalla Camera di esecuzione e fallimento CEF, quale autorità di vigilanza cantonale, in vigore dal 1° gennaio 2001, l’importo base mensile per i coniugi è di fr. 1'550 al mese. A questo importo va aggiunto un supplemento del 15-25% conformemente alla giurisprudenza del TFA. Dal certificato per l’ammissione all’assistenza giudiziaria emerge che l’interessata, nata nel __________, coniugata, attualmente senza occupazione, ha un figlio nato nel gennaio __________. Il marito guadagna ca. fr. 4’100 mensili. I coniugi devono far fronte a fr. 800 di affitto (oltre fr. 1’200 di conguaglio alla fine dell’anno) e a fr. 580.50 per l’assicurazione contro le malattie. Sulla base di quanto prodotto emerge un fabbisogno di fr. 1'480.50 (800 + 100 + 580.50), cui vanno aggiunti l’importo di fr. 1'550 (importo base mensile per coniugi) e fr. 500 (per il figlio nato nel __________), che comprende le spese di sostentamento, abbigliamento, biancheria, igiene, cultura, salute, oneri domestici, quali elettricità, illuminazione, gas (cfr. tabella per il calcolo del minimo di esistenza agli effetti del diritto esecutivo del 1° gennaio 2001), per un importo complessivo di fr. 3'530.05. Aggiungendo il supplemento massimo del 25% al minimo esecutivo di fr. 2'050 (ossia fr. 512.50, con il 15% sarebbero fr. 307.50), si raggiunge un fabbisogno di fr. 4'042.55, di poco inferiore rispetto alle entrate di circa fr. 4'100 al mese. Con sentenza del 20 settembre 2004 nella causa F., U 102/04 il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Nell’evenienza concreta, considerato che l’attrice ha un’eccedenza di poco inferiore ai fr. 60 mensili, la prima condizione per la concessione dell’assistenza giudiziaria è adempiuta. Va poi considerato che l’interessata non dispone delle necessarie conoscenze giuridiche, per cui l'intervento di un legale, in casu l'avv. RA 1, appare senz'altro giustificato, e che le argomentazioni non erano palesemente destituite di esito favorevole. Il TCA ritiene che nella fattispecie siano soddisfatti i requisiti cumulativi per la concessione dell'assistenza giudiziaria a favore dell'assicurata. 2.12.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il valore litigioso ammonta a fr. 40'050 (cfr. petizione), ossia un importo nettamente superiore rispetto alla soglia di fr. 30'000 prevista dalla LTF. Trattandosi di una causa di carattere pecuniario, sono pertanto dati gli estremi per interporre un eventuale ricorso in materia civile al Tribunale Federale sulla base del valore litigioso (art. 74 cpv. 1 lett. b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