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36.2005.229 vom 2. Februar 2006</w:t>
      </w:r>
    </w:p>
    <w:p>
      <w:r>
        <w:t>TI Tribunale d'appello, 2006-02-02, IT</w:t>
      </w:r>
    </w:p>
    <w:p>
      <w:r>
        <w:rPr>
          <w:b/>
        </w:rPr>
        <w:t xml:space="preserve">Quelle: </w:t>
      </w:r>
      <w:r>
        <w:t>https://mcp.opencaselaw.ch/entscheid/ti_gerichte_36.2005.229</w:t>
      </w:r>
    </w:p>
    <w:p>
      <w:r>
        <w:t>FR: TI_GERICHTE 36.2005.229 du 2 février 2006</w:t>
      </w:r>
    </w:p>
    <w:p>
      <w:r>
        <w:t>IT: TI_GERICHTE 36.2005.229 del 2 febbraio 2006</w:t>
      </w:r>
    </w:p>
    <w:p>
      <w:pPr>
        <w:pStyle w:val="Heading2"/>
      </w:pPr>
      <w:r>
        <w:t>Regeste</w:t>
      </w:r>
    </w:p>
    <w:p>
      <w:r>
        <w:t>Prestazioni complementari, clacolo degli importi dovuti dall'assicuratore. Azione in esecuzione del contratto. Petizione accolta parzialmente.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47 cpv. 2-4 della legge federale sulla sorveglianza degli istituti di assicurazione privata (LSA), per le contestazioni relative all'assicurazione complementare all'assicurazione sociale contro le malattie, i Cantoni prevedono una procedura semplice e spedita, nella quale il giudice accerta d'ufficio i fatti e valuta liberamente le prove. La nuova legge federale sulla sorveglianza delle imprese d’assicurazione del 17 dicembre 2004 (LSA), il cui art. 85 è simile all’art. 47LSA attuale, è entrato in vigore il 1° gennaio 2006 (FF 2005, N. 48, pag. 5269).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In concreto la causa concerne una vertenza relativa a copertura complementare alla LAMal, copertura esercitata da un assicuratore malattia autorizzato. Il Tribunale Cantonale delle Assicurazioni è quindi competente a statuire. nel merito 3.   Il Tribunale Cantonale delle Assicurazioni deve decidere se il complessivo versamento di CHF 2'597.60 per l'intervento subito dall'attrice e fatturato come descritto nelle considerazioni che precedono, sia corretto a fronte delle coperture assicurative complementari di cui beneficia AT 1.</w:t>
      </w:r>
    </w:p>
    <w:p>
      <w:r>
        <w:rPr>
          <w:b/>
        </w:rPr>
        <w:t>E. 4</w:t>
      </w:r>
    </w:p>
    <w:p>
      <w:r>
        <w:t>Per interpretare i contratti d'assicurazione privata bisogna applicare le regole generali d'interpretazione del diritto privato (per rinvio dell'art. 100 LCA; STF in RUA XIX n. 55). In particolare, è necessario fondarsi sulle regole generali tratte dalla dottrina e dalla giurisprudenza dall'art. 18 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conviene tenere conto del loro valore normativo: dal momento che esse sono applicabili a tutte le persone assicurate per un medesimo rischio, è necessario che le stesse siano interpretate in modo uniforme e non in funzione di quello che ha capito questo o quell'interessato (TC VD in RUA XVIII n. 45 citata in: CARRÉ, Loi fédérale sur le contrat d'assurance, Losanna 2000, pag. 73 ad art. 1 LCA). L'interpretazione di CGA che sono oggetto di una larga diffusione deve lasciare uno spazio preponderante all'elemento sistematico (DTF 122 III 118, JdT 1987 I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invece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5.   Le condizioni d'assicurazione della complementare __________ (__________qui di seguito) della convenuta impongono l'assunzione dei costi di degenza e trattamento negli ospedali elencati dai cantoni nelle loro pianificazioni. CV 1 copre in particolare i costi della degenza stazionaria in una camera a più letti del reparto comune. Se inesistente tale reparto, per l'art. 2.5 CSA, "trovano applicazione le stesse disposizioni come se la persona assicurata fosse degente nel reparto privato". Per l'art. 5 CSA CV 1 riconosce in caso di degenza ospedaliera di almeno 24 ore e di trattamento stazionario - e ciò nell'ambito delle tariffe riconosciute -, i costi di vitto, alloggio (in casu nel reparto comune), gli onorari dei medici, i costi dei provvedimenti diagnostici e terapeutici scientificamente riconosciuti, la cura medica in ospedale, i costi per medicamenti, materiali di medicazione, sala operatoria e narcosi, i costi per mezzi ausiliari e gli oggetti presenti dell'ospedale. Questi costi vengono assunti se sussiste - e qui non vi è discussione in proposito - obbligo di prestazione secondo la LAMal. In caso di copertura nel reparto comune e ricovero in reparto semi privato l'art. 7.1 CSA prevede per CV 1 l'obbligo di versare il 40% delle prestazioni. Il contratto appare chiaro nella sua formulazione e nella sua interpretazione. Non contiene clausole dubbie od ambigue e non sembra che la disputa tra le parti abbia per oggetto la sua interpretazione. Occorre allora verificare se la convenuta ha correttamente eseguito i suoi obblighi contrattuali. 6.   In concreto il ricovero e la cura in favore di AT 1 sono costati CHF 5'160.-- (fattura dott. __________ ) e CHF 9'210.-- (fattura Clinica __________ comprensiva della fattura del dott. __________ per anestesia di CHF 1'850.--). La fattura del dott. __________ é stata ammessa ma "rettificata" ossia diminuita del 10% poiché "stilata - effettivamente - in base alla tariffa per il ceto medio dell'Ordine dei medici di __________ ma, secondo CV 1" il medico avrebbe dovuto, automaticamente, procedere ad una "rettifica". CV 1 non ha dimostrato, come a suo obbligo a fronte della fattura stilata dal professionista __________ e prodotta da parte attrice, l'errore nella mancata deduzione del 10%. L'assicuratore non ha prodotto il tariffario per lui vincolante e non ha specificato il perché del sussistere degli estremi della deduzione operata se non con un ragionamento tautologico contenuto nella risposta di causa. Su questo punto la petizione va accolta. Correttamente è stato ritenuto - alla luce del reparto semi privato del ricovero (circostanza non contestata dalle parti) - il coefficiente di copertura dei costi fissato nel 40%. Per la fatturazione del dott. __________ CV 1 avrebbe dovuto versare complessivamente l'importo di CHF 2'064.-- (parti a CHF 5'160.-- x 40 : 100) in luogo dei CHF 1'857.60 riconosciuti con il conteggio 75980711. 7.   Per quanto attiene alle cure ospedaliere CV 1 ha liquidato la fattura intestata: Praxisgemeinschaft für Anästhesiologie" "Klinik __________, __________ " del dott. __________, per CHF 1'850.--. Non ha invece considerato la fattura complessiva della Clinica di CHF 9'210.-- comprensiva dei CHF 1'850.-- cui è cenno. La fattura della Clinica comprende, come evidenziato sub. A, sia i costi dell'anestesia, che la camera, i medicamenti ed il materiale nonché i costi dell'operazione. Si tratta, a ben vedere, di costi che rientrano tra quelli che l'assicuratore, in virtù delle CSA vincolanti, si è impegnato ad assumersi. CV 1 deve quindi riconoscere alla signora AT 1, sulla fattura della Clinica l'importo di CHF 3'684.-- (CHF 9'210.-- x 40 : 100). 8.   Alla luce di quanto precede dunque AT 1 ha diritto di beneficiare di versamenti complessivi da parte di CV 1 per complessivi CHF 3'684.-- + CHF 2'064.-- ossia 5'748.--. Di questo importo sono stati riconosciuti solo, complessivamente, CHF 2'597.60. La petizione va quindi accolta per l'importo di CHF 3'150.40. Non si percepiscono tasse e spese e non si attribuiscono ripetibili. La presente sentenza è definitiva non essendo dati gli estremi di cui all'art. 43 OG per un'impugnazione in riforma dinanzi al Tribunale Federale di Losanna e viene intimata alle parti ed all'UFAP, Berna, ai sensi dell'art. 49 cpv. 2 LSA che fa obbligo ai Tribunali di trasmettere gratuitamente all'autorità di sorveglianza le sentenze concernenti disposizioni del diritto in materia di contratto d'assicurazione.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