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36.2005.224 vom 8. Februar 2006</w:t>
      </w:r>
    </w:p>
    <w:p>
      <w:r>
        <w:t>TI Tribunale d'appello, 2006-02-08, IT</w:t>
      </w:r>
    </w:p>
    <w:p>
      <w:r>
        <w:rPr>
          <w:b/>
        </w:rPr>
        <w:t xml:space="preserve">Quelle: </w:t>
      </w:r>
      <w:r>
        <w:t>https://mcp.opencaselaw.ch/entscheid/ti_gerichte_36.2005.224</w:t>
      </w:r>
    </w:p>
    <w:p>
      <w:r>
        <w:t>FR: TI_GERICHTE 36.2005.224 du 8 février 2006</w:t>
      </w:r>
    </w:p>
    <w:p>
      <w:r>
        <w:t>IT: TI_GERICHTE 36.2005.224 del 8 febbraio 2006</w:t>
      </w:r>
    </w:p>
    <w:p>
      <w:pPr>
        <w:pStyle w:val="Heading2"/>
      </w:pPr>
      <w:r>
        <w:t>Regeste</w:t>
      </w:r>
    </w:p>
    <w:p>
      <w:r>
        <w:t>Sospensione del pagamento delle prestazioni derivanti dall'assicurazione malattia di base in seguito all'emissione di attestati di carenza beni non ancora soluti dall'autorità di assistenza sociale.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relativi ad anni precedenti il 2005. Vanno pertanto applicate le norme in vigore fino al 31 dicembre 2005.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e 4 è in gran parte simile a quello del vecchio art. 9 cpv. 1 e 2 OAMal (cfr. DTF 129 V 455 consid. 3). Per l’art. 90 cpv. 3 OAMal se, nonostante diffida, l’assicurato non paga premi o partecipazioni ai costi scaduti, l’assicuratore deve promuovere una procedura esecutiva. Se questa sfocia in un attestato di carenza beni, l’assicuratore ne informa la competente autorità sociale. Sono salve le disposizioni cantonali che prevedono la previa notifica all’autorità preposta alla riduzione dei premi. L’art. 90 cpv. 4 OAMal prevede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In DTF 129 V 455 il TFA ha interpretato l’art. 9 cpv. 2 OAMal nella versione valida fino al 31 dicembre 2002, sostituito dall’art. 90 cpv. 4 OAMal dal 1. gennaio 2003, stabilendo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L’Alta Corte ha affermato: "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Gegenstand des Verlustscheins bildenden als auch auf die insgesamt ausstehenden Prämien oder Beiträge beziehen. (…)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Voraussetzung der Einleitung des Verfahrens mit der Sozialhilfebehörde und einer allfälligen Verlustschein insofern in seiner Bedeutung relativiert würde, als die Tilgung der durch ihn verurkundeten Forderungen allenfalls nicht für die Beendigung des Aufschubs hinreichend wäre. 2.3  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2.4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3.  Soweit sich die Beschwerdeführerin zur Begründung ihres abweichenden Rechtsstandpunktes auf die Art. 9 und 90 KVV,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Art. 9 Abs. 1 KVV wörtlich überein, ebenso der (alt) Art. 9 Abs. 2 KVV entsprechende neue Art. 90 Abs. 4 KVV,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 Va ancora rilevato che con STFA del 28 gennaio 2005 (K 117/04), l’Alta Corte ha affermato: " Selon l' art. 9 al. 1 OAMal (en vigueur jusqu'au 31 décembre 2002), si, malgré sommation, l'assuré ne paie pas les primes ou participations aux coûts échues, l'assureur doit engager une procédure de poursuite. Si cette procédure aboutit à un acte de défaut de biens, l'assureur en informe l'autorité compétente d'aide sociale (...). D'après l' art. 9 al. 2 OAMal , 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 2.1 Du point de vue intertemporel, ces dispositions sont applicables à la présente cause (ATF 127 V 467 consid. 1, 121 V 366 consid. 1b; cf. aussi ATF 129 V 456 consid. 1). Il est à relever, quoi qu'il en soit, que cette réglementation a été reprise à l' art. 90 al. 3 et 4 OAMal , en vigueur depuis le 1er janvier 2003. A, part des modifications d'ordre purement rédactionnel, le Conseil fédéral a apporté une adjonction à l' art. 90 al. 3 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100.-- a titolo di rimborso spese sopportate per la procedura dal ricorrente.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