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36.2005.139 vom 3. April 2006</w:t>
      </w:r>
    </w:p>
    <w:p>
      <w:r>
        <w:t>TI Tribunale d'appello, 2006-04-03, IT</w:t>
      </w:r>
    </w:p>
    <w:p>
      <w:r>
        <w:rPr>
          <w:b/>
        </w:rPr>
        <w:t xml:space="preserve">Quelle: </w:t>
      </w:r>
      <w:r>
        <w:t>https://mcp.opencaselaw.ch/entscheid/ti_gerichte_36.2005.139</w:t>
      </w:r>
    </w:p>
    <w:p>
      <w:r>
        <w:t>FR: TI_GERICHTE 36.2005.139 du 3 avril 2006</w:t>
      </w:r>
    </w:p>
    <w:p>
      <w:r>
        <w:t>IT: TI_GERICHTE 36.2005.139 del 3 aprile 2006</w:t>
      </w:r>
    </w:p>
    <w:p>
      <w:pPr>
        <w:pStyle w:val="Heading2"/>
      </w:pPr>
      <w:r>
        <w:t>Regeste</w:t>
      </w:r>
    </w:p>
    <w:p>
      <w:r>
        <w:t>Interpretazione di un contratto assicurativo. Interpretazione dell'espressione "ortodonzia".In casu,l'estrazione dei denti del giudizio fa parte della pianificazione ortodontica dello specialista,quindi rientra nella fase di "trattamento" di una cura ortodontica.L'assicuratore assume i costi all'80%</w:t>
      </w:r>
    </w:p>
    <w:p>
      <w:pPr>
        <w:pStyle w:val="Heading2"/>
      </w:pPr>
      <w:r>
        <w:t>Erwägungen</w:t>
      </w:r>
    </w:p>
    <w:p>
      <w:r>
        <w:rPr>
          <w:b/>
        </w:rPr>
        <w:t>E. 000</w:t>
      </w:r>
    </w:p>
    <w:p>
      <w:r>
        <w:t>per trattamento, da intendere come diagnosi, pianificazione, trattamento, compresi gli apparecchi ed i controlli successivi fino alla fine del trattamento . La questione verte sull ' interpretazione di queste due disposizioni, in particolare su cosa comprenda la voce "Ortodonzia". Per l'attrice, con "Ortodonzia" devono essere intese tutte le cure ortodontiche di cui l a contraente necessita nell'ambito di un trattamento di correzione della posizione dei denti. Nel suo caso lo specialista ortodonzista che l'aveva in cura da anni ha consigliato di togliere gli ottavi " per evitare che si crei un affollamento inferiore, siccome manca spazio ed erano mesioinclinati ". Da questa indicazione risulterebbe dunque che l'estrazione dei quattro denti del giudizio fosse un tassello necessario della cura ortodontica in essere da alcuni anni, e non un caso isolato di intervento di chirurgia dentaria. Secondo l ' assicuratore, ciò che conta sarebbe invece soltanto la lista esaustiva delle prestazioni che rientrano nella voce degli " interventi di chirurgia dentaria ", fra cui v ' è " l ' estrazione chirurgica di denti del giudizio ". La circostanza che lo specialista riteneva opportuna questa estrazione non farebbe alcuna differenza, siccome, come tale, " un ' estrazione dei denti del giudizio non ne fa ancora un trattamento di ortopedia mascellare. ". Pertanto, s ' imporrebbe soltanto la copertura del 50% dei costi d ' intervento fatturati dall ' odontoiatra. 4.   Per interpretare i contratti d'assicurazione privata bisogna applicare le regole generali d'interpretazione del diritto privato (per rinvio dell'art. 100 LCA; STF in RUA XIX n. 55). In particolare, è necessario fondarsi sulle regole generali tratte dalla dottrina e dalla giurisprudenza dall'art.</w:t>
      </w:r>
    </w:p>
    <w:p>
      <w:r>
        <w:rPr>
          <w:b/>
        </w:rPr>
        <w:t>E. 18</w:t>
      </w:r>
    </w:p>
    <w:p>
      <w:r>
        <w:t>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conviene tenere conto del loro valore normativo: dal momento che esse sono applicabili a tutte le persone assicurate per un medesimo rischio, è necessario che le stesse siano interpretate in modo uniforme e non in funzione di quello che ha capito questo o quell'interessato (TC VD in RUA XVIII n. 45 citata in: CARRÉ, Loi fédérale sur le contrat d'assurance, Losanna 2000, pag. 73 ad art. 1 LCA). L'interpretazione di CGA che sono oggetto di una larga diffusione deve lasciare uno spazio preponderante all'elemento sistematico (DTF 122 III 118, JdT 1987 I 805). Inoltre,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la possibilità d'interpretarla (DTF 127 III 44 consid. 1b). Occorre esaminare se ci sono dei motivi per pensare che una clausola debba essere compresa in un'altra maniera che il suo senso letterale (DTF 128 III 212 consid. 2b)bb). Non vi sono comunque i presupposti per scostarsi dal senso letterale di un testo adottato dagli interessati quando non vi sono ragioni serie per pensare che esso non corrisponda alla loro volontà (DTF 129 III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5.   Con l'assicurazione __________ in oggetto le parti hanno voluto prevedere il versamento di prestazioni, da parte dell'assicuratore nei confronti della stipulante, qualora l’attrice necessitasse di cure particolari non prese a carico, o solo in parte, dall ' assicurazione obbligatoria delle cure medico-sanitarie. La questione verte sull ' obbligo dell ' assicuratore di versare all ' attrice il 50% o l ' 80% del costo del trattamento odontoiatrico fatturato dal dr. med. dent. __________ (Fr. 1 ' 831,20). In virtù della copertura __________ e delle summenzionate CC, la percentuale dei costi che CV 1 si deve assumere dipende dalla catalogazione della cura dentaria che il citato medico dentista ha prestato all ' attrice dal 24 settembre al 23 novembre 2004. Siccome questo Tribunale non ha constatato una reale e comune intenzione delle parti a proposito del significato delle cure ortodontiche e se l'estrazione dei denti del giudizio, quando collaterale a cure ortodontiche, rientri in tale branca odontoiatrica, occorre ricercare il senso che attrice e convenuta potevano e dovevano dare, in buona fede, all ' espressione " ortodonzia " usata in applicazione del principio dell'affidamento (DTF 126 III 388 consid. 5a, DTF 126 III 25 consid. 3c, DTF 126 III 59 consid. 5b). Va quindi interpretato il contenuto delle Condizioni Complementari sulla scorta dei princìpi giurisprudenziali sopra esposti. 6.   Contrariamente a quanto sostiene l'assicuratore, la categoria " ortodonzia " va intesa in un'accezione ampia e quindi nel senso suggerito e capito dall'attrice. L' ortodonzia è la correzione della posizione dei denti ed un ortodonzista dapprima diagnostica l ' errato sviluppo dei mascellari e la posizione irregolare dei denti, poi pianifica nel tempo le cure da intraprendere ed infine decide il tipo di trattamento da adottare, inclusi gli eventuali apparecchi (baffo, lip-bumper , monoblocco, apparecchio fisso), tenendo sotto regolare controllo l ' evolversi del trattamento. Da questo punto di vista, la descrizione delle prestazioni che le CC danno dell ' ortodonzia è corretta. Altrettanto corretta appare la lista degli interventi di chirurgia dentaria presi a carico al 50% da CV 1, fra i quali v ' è l ' estrazione chirurgica di denti del giudizio , compresa l ' anestesia, le radiografie necessarie ed il trattamento successivo. Per quanto attiene al caso concreto, occorre sapere in quale di queste due categorie inserire l ' intervento d ' estrazione chirurgica di denti del giudizio consigliata dall ' ortodonzista nell ' ambito di una cura ortodontica e quindi quando sia finalizzata alla correzione della posizione dei denti e non ad eliminare patologie. D ' avviso del TCA , nel caso di specie, l ' estrazione chirurgica dei quattro ottavi effettuata dal dr. med. dent. __________ va considerata come un intervento facente parte di un trattamento ortodontico. Come tale essa va quindi presa a carico dall ' assicuratore nella misura dell ' 80% dei costi fatturati dal medico dentista, fermo restando l ' applicazione della tariffa vigente per la LAMal. Contrariamente a quanto ritiene la convenuta, l ' importante indicazione dello specialista secondo cui all ' attrice era consigliata l ' estrazione di tutti e quattro i denti del giudizio non va ignorata, ma pone per contro in atto, nel caso concreto, l ' eccezione ad una normale chiamata in causa dell ' assicuratore nella misura del 50%. L ' estrazione dei denti del giudizio faceva infatti parte della pianificazione ortodontica dello specialista. La necessità di ricavare dello spazio all ' interno della cavità orale di AT 1 era, per lo specialista, una condizione indispensabile per portare a termine il trattamento ortodontico messo in atto da diversi anni. L ' ortodonzista intendeva così prevenire un affollamento dei denti (doc. A1), che altrimenti avrebbe potuto pregiudicare e quindi vanificare tutte le cure ortodontiche effettuate fino ad allora, come pure una corretta masticazione dell ' assicurata. Nel caso in esame si deve concludere che l ' estrazione dei denti del giudizio dell ' attrice collaterale alla cura ortodontistica e finalizzato al successo della stessa, quindi parte integrante dell'attività di correzione della posizione dei denti, deve rientrare nella fase di " trattamento " necessaria nell ' ambito dell'attività del dott. med. Picco, alla stessa stregua della diagnosi, della pianificazione e dei controlli che seguono il corso di una cura ortodontica. Il TCA osserva comunque che se l ' indicazione non fosse stata ortodontica, l ' assunzione dei costi sarebbe stata del 50%, fino a Fr. 1 ' 000.- al massimo per anno. 7.   Da quanto precede discende che, a fronte delle necessità di cura che si sono manifestate nel corso del trattamento ortodontico a cui l ' attrice è stata sottoposta, l 'estrazione dei denti del giudizio non rientri nella categoria degli interventi di chirurgia dentaria, bensì dell ' ortodonzia. Pertanto, l ' assicuratore è tenuto a corrispondere l ' 80% delle prestazioni offerte ed assicurate dalla copertura complementare __________ secondo la tariffa LAMal, anziché il 50% già riconosciuto e versato il 27 dicembre 2004 (doc. A2). CV 1 non ha portato - come le incombeva secondo procedura, a fronte degli elementi probatori addotti da parte attrice (in specie la fattura del dott. __________ adeguatamente dettagliata e specificata) - elementi a comprova della non conformità della fatturazione del dott. __________ alla tariffa vigente. Vanno quindi ritenuti i punti esposti nella fatturazione 574 ai quali va applicata la tariffa LAMal pari a CHF 3,10 il punto (convenzione tariffaria tra SSO e - ora- Médisuisse che rinvia all'accordo sul valore del punto tra medesime parti). Ciò per un totale di CHF 1'779.40. Nella fattura vanno anche conteggiate e ritenute le prestazioni (per complessivi 6,5 punti) relative alla fluorazione ed a prestazioni dell'igienista non avendo CV 1 comprovato la loro estraneità all'intervento posto in essere dal dott. __________. In altri termini la fatturazione rende verosimile e comprova tale necessità e connessità; circostanza non adeguatamente contestata da CV 1. All'importo di CHF 1'779,40 vanno aggiunti i medicamenti applicati ed il materiale di profilassi per CHF 23.10. Il tutto per complessivi CHF 1'802.50. L'importo dovuto da CV 1 è quindi di CHF 1'442.-- e non CHF 840,80. CV 1 dovrà versare a AT 1 e, per essa minorenne, al padre RA 1 l'importo di CHF 601,20 pari alla differenza tra quanto dovuto (CHF 1'442.--) e quanto sin qui versato. La petizione va accolta parzialmente. Sebbene sia vincente in causa, all ' attrice non vanno assegnate ripetibili siccome non patrocinata. 8.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In concreto, il valore litigioso è rappresentato dalla differenza fra il 50% di Fr. 1 ' 681,60 che l ' assicuratore ha già riconosciuto all ' attrice e l ' 80% della fattura totale di Fr. 1 ' 831,20 che quest ' ultima pretende. L ' importo controverso è manifestamente inferiore ai succitati Fr. 8'000.-. Gli estremi per interporre un eventuale ricorso per riforma al Tribunale Federale di Losanna non sono quindi dati. 9.   Secondo l'art. 49 cpv. 2 LSA, i tribunali svizzeri devono trasmettere gratuitamente all'autorità di sorveglianza una copia di tutte le sentenze civili concernenti disposizioni del diritto in materia di contratto d'assicurazione, perciò s'impone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