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36.2004.15 vom 13. Januar 2004</w:t>
      </w:r>
    </w:p>
    <w:p>
      <w:r>
        <w:t>TI Tribunale d'appello, 2004-01-13, IT</w:t>
      </w:r>
    </w:p>
    <w:p>
      <w:r>
        <w:rPr>
          <w:b/>
        </w:rPr>
        <w:t xml:space="preserve">Quelle: </w:t>
      </w:r>
      <w:r>
        <w:t>https://mcp.opencaselaw.ch/entscheid/ti_gerichte_36.2004.15</w:t>
      </w:r>
    </w:p>
    <w:p>
      <w:r>
        <w:t>FR: TI_GERICHTE 36.2004.15 du 13 janvier 2004</w:t>
      </w:r>
    </w:p>
    <w:p>
      <w:r>
        <w:t>IT: TI_GERICHTE 36.2004.15 del 13 gennaio 2004</w:t>
      </w:r>
    </w:p>
    <w:p>
      <w:pPr>
        <w:pStyle w:val="Heading2"/>
      </w:pPr>
      <w:r>
        <w:t>Regeste</w:t>
      </w:r>
    </w:p>
    <w:p>
      <w:r>
        <w:t>Sentenza o decisione senza scheda</w:t>
      </w:r>
    </w:p>
    <w:p>
      <w:pPr>
        <w:pStyle w:val="Heading2"/>
      </w:pPr>
      <w:r>
        <w:t>Erwägungen</w:t>
      </w:r>
    </w:p>
    <w:p>
      <w:r>
        <w:rPr>
          <w:b/>
        </w:rPr>
        <w:t>E. 3</w:t>
      </w:r>
    </w:p>
    <w:p>
      <w:r>
        <w:t>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successiva sentenza del 15 giugno 1992, pubblicata in RAMI 1992, pag. 138, l'Alta Corte, in un caso concernente le indennità giornaliere, facendo riferimento alla giurisprudenza sopra indicata, ha ribadito che, pena la disattenzione del principio della mutualità e la creazione di una disparità di trattamento difficilmente ammissibile in seno alla cassa malati, solo l'assicurato che paga regolarmente le quote può pretendere prestazioni. Infine, in una sentenza del 30 aprile 1996 il TFA, riferendosi alle sopra citate decisioni,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(Jean-Louis Duc, Non-paiement des primes de l'assurance-maladie obligatoire et suspension du droit aux prestations selon la LAMal; compensation dans le cadre de la LAMal, in Recueil de travaux en l'honneur de la Société Suisse de droit des assurances, ed. IRAL, Losanna 1997, pag. 469 e seg.). In queste circostanze, considerata la giurisprudenza applicabile in concreto e la dottrina, a mente del TCA la richiesta dell'assicurata tendente alla compensazione della franchigia e delle partecipazione ai costi con le pretese avanzate non possono trovare accoglimento (cfr. anche in tal senso STCA del 23 aprile 2002 nella causa __, __________). Come visto in precedenza, con il 1° gennaio 2003 è entrata in vigore la LPGA. A proposito della compensazione Kieser, ATSG-Kommentar, 2003, a pag. 13, n. 22 ad "Vorbemerkung", ricorda: " Art. 34 E ATSG sah eine - als &lt;&lt;multilaterale&gt;&gt; Möglichkeit bezeichnete (vgl. BERICHT UND ENTWURF, 48) - Verrechnung vor (vgl. BBl 1991 II 258). In der parlamentarischen Debatte blieb unklar, ob die Bestimmung es erlauben würde, den Kostenersatz für eine Sachleistung in die Verrechnung einzubeziehen; sodann wurde es abgelehnt, dass von einem Arbeitgeber nicht entrichtete Beiträge und Prämien mit Leistungen an die versicherte Person verrechnet werden können; in der nationalrätlichen Kommission wurde angesichts dieser Streitpunkte die Bestimmung gestrichen (vgl. BBl 1999 4581). Damit bleibt es in der Sozialversicherung bei einer zweibezogenen Umschreibung der Verrechnung, der im übrigen auch von Gerichtspraxis der Vorzug gegeben wird (BGE 125 V 323 f.). Einzig in Art. 20 Abs. 2 ATSG wird ein - eingeschränkter - Verrechnungsausschluss festgelegt." Per cui, l'entrata in vigore della LPGA, non ha modificato nulla riguardo alla tematica che qui ci interessa. Va poi abbondanzialmente rammentato che l'Alta Corte in una sentenza del 22 ottobre 2002 nella causa B. (K 102/00, pubblicata in SVR 6/2003, KV nr. 15, pag. 57) ha fissato i limiti entro i quali la compensazione da parte dell'assicuratore è possibile. In particolare i giudici federali hanno stabilito che " la giurisprudenza federale sull'ammissibilità per la Cassa malati di procedere alla compensazione va compresa nel senso che essa è possibile solo posteriormente alla messa in atto, da parte dell'assicuratore malattia, della procedura di cui all'art. 9 cpv. 1 OAMal ." Infine, posto che la compensazione non è ammessa, per quanto concerne il pagamento delle prestazioni derivanti dall'assicurazione malattia di base (LAMal), che l'assicurata afferma non essere ancora state pagate, va rilevato che se intende chiederne il rimborso, deve trasmettere le fatture alla Cassa (se non sono ancora state trasmesse) e domandare l'emanazione di una decisione formale che potrà essere oggetto di opposizione (cfr. art. 52 LPGA) e, successivamente, se del caso, di ricorso al TCA (cfr. art. 60 LPGA). 2.6.   La Cassa ha chiesto inoltre all'assicurata fr. 35 di spese di sollecito e gli interessi di mora al 5% dal 9 dicembre 2002 sulla franchigia e la partecipazione ai costi (cfr. decisione su opposizione e precetto esecutivo, doc. _).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verursacht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"condizioni dell'assicurazione obbligatoria delle cure medico-sanitarie" dell'assicurazione di base, sono silenti circa la riscossione di spese in caso di ritardo nel pagamento dei premi e delle partecipazioni ai costi (cfr. in particolare il doc. _ dove sotto il titolo "mora dell'assicurato", non viene indicato alcunché circa eventuali spese di sollecito). Per cui, in assenza di una norma esplicita, le spese non possono essere richieste. Su questo punto la decisione va modificata. Per quanto concerne invece il riconoscimento delle spese esecutive, giova ricordare che esse non formano oggetto della sentenza di rigetto, ma seguono le sorti dell'esecuzione per la quale è stato concesso il rigetto senza che sia necessaria una esplicita pronuncia di merito (RAMI 2003 pag. 226, SZS 2001 pag. 568 consid. 5 con riferimenti; Panchaud/Caprez, La mainlevée de l'opposition, §164, pag. 414; K. Ammon, Grundriss des Schuldbetreibungs-und konkursrechts, Berna 1983, p. 106). 2.7.   Per quanto concerne gli interessi, va rilevato quanto segue. Fino al 31 dicembre 2002, secondo la costante giurisprudenza del TFA, nel settore delle assicurazioni sociali per principio non venivano versati interessi di mora, a meno che la legge non lo prevedesse espressamente (cfr. STCA del 19 gennaio 2000 nella causa A., inc. __________; DTF 119 V 134, 119 V 79 e 113 V 50 con riferimenti). Questo principio conosceva delle eccezioni. Infatti, il TFA ha riconosciuto il diritto ad interessi moratori allorché si riscontravano “ circostanze particolari ”. Queste circostanze sono state considerate realizzate in presenza di manovre illecite o dilatorie degli organi amministrativi (DTF 101 V 118). In DTF 108 V 19 consid. 4b (= RCC 1983 pag. 156 consid. 4b) l’Alto tribunale, dopo avere confermato la propria prassi, ha aggiunto che per poter attribuire eccezionalmente interessi moratori in assenza di base legale oltre all’atto illecito era ancora necessario un agire colposo da parte dell’amministrazione (o di un’autorità di ricorso, cfr. anche DTF 117 V 352 consid. 3, 116 V 327). Il TFA ha tuttavia rifiutato il versamento generalizzato di interessi. Tale impostazione è fondata sulla circostanza che nel diritto delle assicurazioni sociali il riconoscimento di interessi moratori è giustificato, come in passato, soltanto in via eccezionale e in casi isolati che particolarmente urtano il senso del diritto (DTF 113 V 50 consid. 2a, RCC 1990 pag. 47 consid. 3). In DTF 101 V 114 il TFA ha inoltre rilevato come " quant à l'assuré, la règle de l'égalité des parties commande de le dispenser lui aussi du paiement des intérêts de retard lorsqu'il a defendu ce qu'il estimait être son droit. " La possibilità di chiedere gli interessi, introdotta nel 1996 in ambito LAMal, nella prima la versione dell'art. 9 cpv. 2 OAMal, è stata abrogata con effetto dal 1.1.1998 (Gerhard Eugster, Krankenversicherung, pag. 185, nota 828). Con il 1° gennaio 2003 è entrata in vigore la legge federale sulla parte generale del diritto delle assicurazioni sociali. La LPGA all'art. 26 cpv. 1 prevede che i crediti di contributi dovuti o di contributi indebitamente riscossi sottostanno rispettivamente a interessi di mora o rimunerativi. Il Consiglio federale può prevedere eccezioni per importi esigui e termini di breve durata. Il TCA contesta che attualmente nell'ordinanza non è stato previsto alcun limite. Per il cpv. 2 dell'art. 26 LPGA sempre che l'assicurato si sia pienamente attenuto all'obbligo di collaborare, l'assicurazione sociale deve interessi di mora sulle sue prestazioni dopo 24 mesi dalla nascita del diritto, ma al più presto 12 mesi dopo che si è fatto valere il diritto. 2.8.   Va innanzitutto esaminato se l'art. 26 LPGA, applicabile in caso di ritardo nel pagamento dei premi (cfr. Kieser, ATSG-Kommentar, Zurigo 2003, ad art. 26 pag. 296 n. 7), trova applicazione anche quando la franchigia e la partecipazioni ai costi sono pagate tardivamente. Kieser, a proposito dei contributi soggetti ad interessi di mora, rileva (op. cit. pag. 296, n. 7): " Welche Bereiche zu den Beiträgen zu rechnen sind und ob insbesondere die vom Einzelgesetz als Prämie bezeichnete Geldzahlung ebenfalls dazuzählen ist, legt das ATSG nicht ausdrücklich fest. Es wird aber aus verschiedenen Ueberlegungen erkennbar, dass der Gesetzgeber damit sämtliche Zahlungen meint, welche der Versicherung als Folge der Versicherungsunterstellung und im Hinblick auf das versicherte Risiko zu entrichten sind. So trug der (frühere) 2. Abschnitt des 2. Kapitels ursprünglich den Titel &lt;&lt;Versicherungs- und Beitragsbereich&gt;&gt; (vgl. BBl 1991 II 188; dazu BBl 1999 4543), wobei offensichtlich sämtliche Sozialversicherungszweige gemeint waren. Ferner wird vereinzelt von &lt;&lt;Prämien&gt;&gt; gesprochen, wo offenbar auch Beiträge gemeint sind (vgl. BBl 1999 4581). Schliesslich ist zu berücksichtigen, dass die Literatur betont, dass mit Beitrag und Prämie &lt;&lt;das gleiche gemeint ist&gt;&gt; (vgl LOCHER, Grundriss, 133). Deshalb ist - unabhängig von der Bezeichnung als Beitrag oder als Prämie - davon asuzugehen, dass art. 26 Abs. 1 ATSG alle entsprechende Zahlungen erfasst." Circa le modifiche inerenti l'assicurazione malattia Kieser, op. cit., pag. 309, n. 32, afferma: " Das bisherige Recht sah für ausstehende Prämien oder für Prämienrückerstattungen (vgl. dazu SVR 1994 Kv nr. 21) grundsätzlich keine Verzungszinspflicht vor; bei einem bestehenden Zahlungsverzug wurde die früher gegebene Verzugszinspflicht mit Wirkung ab 1. Januar 1998 aufgehoben (vgl. dazu Eugster, Krankenversicherung, Rz. 339, v.a. Fn. 828). Lediglich für den Fall, dass die versicherte Person unterlassen hat, das Ende der Unfalldeckung der Krankenversicherung zu melden, sieht Art. 10 Abs. 2 KVG für nachträglich zu erhebenden Prämien eine Verzugszinspflicht vor (vgl. dazu BBl 1999 4580 sowie Zürcher, Verzugszinsen, 146 f.). Mit der Einführung einer allgemeinen Verzugszinspflicht für Beitragsforderungen unterliegen die bei Fälligkeit nicht entrichteten Prämien grundsätzlich der Verzugszinspflicht. Weil es sich bei den Prämien in der Regel um &lt;&lt;geringe Beträge&gt;&gt; im Sinne von Art. 26 Abs. 1 ATSG handelt, wäre auf dem Verordnungsweg eine Ausnahme von der Verzugszinspflicht vorzunehmen (vgl. dazu auch Protokoll der ständerätlichen Kommission für soziale Sicherheit und Gesundheit vom 6. September 1999, 14, wo betont wurde, dass sich entsprechende Ausnahmen aufdrängen); daran fehlt es bislang (vgl. im übrigen Art. 90 f. KVV). Da die Krankenkassen in aller Regel die Leistungen innerhalb weniger als zwölf Monaten nach der Geltendmachung erbringen, wird im Leistungsbereich die Verzugszinspflicht keine Bedeutung erlangen. Soweit der Krankenversicherer die Ubernahme der Kosten für die Leistungen aufschieben darf (vgl. dazu Art. 90 Abs. 4 KVV), kann sich bei später eintretender Leistungspflicht eine Verzugszinspflicht nicht ergeben, da in diesen Fällen die versicherte Person die sie treffenden Pflichten (Prämienbezahlung) nicht erfüllt hat." Eugster, " ATSG und Krankenversicherung: Streifzug durch Art. 1-55 ATSG ", in SZS 2003, pag. 213 segg., in particolare pag. 225, da parte sua afferma: " Während nach dem bisherigen Recht bei ausstehenden Prämien grundsätzlich kein Verzugszins geschuldet war (SVR 2001 KV Nr. 31, in BGE 125 V 276 nicht publ. E. 2a), unterliegen mit Art. 26 Abs. 1 ATSG fällige Prämienforderungen und Prämienrückerstattungsansprüche neu der Verzugszinspflicht. Eine versicherte Person, die bis zum reglementarisch festgelegten Fälligkeitstermin nicht leitet, befindet sich automatisch im Zahlungsverzug. Eine Mahnung des Prämienzahlungsausstandes ist nicht Voraussetzung des rechts auf Erhebung von Verzugszinsen. Entgegen der Auffassung von Kieser (ATSG-Kommentar, Art. 26 Rz. 32) handelt es sich bei Prämien nicht um &lt;&lt;geringe Beträge&gt;&gt; im Sinne von Art. 26 Abs. 1 Satz 2 ATSG, da ausstehende Prämien für Hunderte oder Tausende von Franken keine Seltenheit sind." Nel Rapporto della Commissione del Consiglio nazionale della sicurezza sociale e della sanità (FF 1999), a pag. 3949 si afferma: " (…) La Commissione ritiene che gli interessi di mora siano opportuni in caso di ritardo sia per i contributi che per le prestazioni. Non vi è alcun motivo di far valere tale normativa solo per uno di questi aspetti. Interessi di mora possono benissimo essere giustificati in caso di restituzione di contributi. La Commissione propone pertanto di disciplinare nel capoverso 1 l'aspetto dei contributi e nel capoverso 2 l'aspetto delle prestazioni. Capoverso 1: va sancito soltanto l'obbligo di versare interessi. Nell'ambito dei contributi le singole leggi sono talmente differenti che il principio di base va concretizzato nella legge. Non è possibile raggiungere un'armonizzazione, in quanto le scadenze dei contributi non sono armonizzabili. Conferendo al Consiglio federale la competenza di stabilire deroghe per importi esigui si tiene conto della normativa esistente nell'AVS a livello di ordinanza (nessun obbligo di pagare interessi di mora per importi inferiori a 3000 franchi o per i periodi inferiori a due mesi: art. 41bis e 42ter OAVS). (…) Sinora la LAMal non contempla l'obbligo di riscuotere interessi di mora sui premi, sicché questa normativa sarebbe nuova. Soltanto l'articolo 10 LAMal prevede interessi di mora per premi in relazione con la fine della sospensione dell'assicurazione contro gli infortuni. Tale disposizione va mantenuta immutata parallelamente alla LPGA quale norma concernente una fattispecie particolare." Va ancora rammentato che con il 1° gennaio 2003 è entrata in vigore una modifica dell'art. 90 OAMal (il cui titolo è: riscossione dei premi), il quale, al cpv. 2, prevede che il tasso per gli interessi di mora sui premi scaduti ai sensi dell'articolo 26 capoverso 1 LPGA è del 5 per cento l'anno. Il cpv. 3, prima frase, prevede che se, nonostante diffida, l'assicurato non paga premi o partecipazioni ai costi scaduti, l'assicuratore deve promuovere una procedura esecutiva. A questo proposito va sottolineato da una parte che le disposizioni sui premi dell'art. 90 OAMal, entrate in vigore il 1° gennaio 2003, fanno riferimento, ai cpv. 3 e</w:t>
      </w:r>
    </w:p>
    <w:p>
      <w:r>
        <w:rPr>
          <w:b/>
        </w:rPr>
        <w:t>E. 4</w:t>
      </w:r>
    </w:p>
    <w:p>
      <w:r>
        <w:t>anche alle partecipazioni ai costi. Inoltre, le disposizioni sulla franchigia, si trovano, nell'ordinanza, nel capitolo 2 intitolato " Premi degli assicurati ", nella Sezione 2 " Forme particolari di assicurazione ". Infine, la norma dell'art. 90 OAMal fa parte della sezione 1 intitolata " Disposizioni generali ". Per cui, a mente del TCA, gli interessi vanno calcolati sia sui premi, come prevede espressamente l'ordinanza, che sulla franchigia e la partecipazione ai costi, come emerge dalla sistematica dell'ordinanza e poiché si tratta di contributi all'assicurazione malattia regolati nelle norme relative ai premi. 2.9.   Va ora esaminato a partire da quale momento gli interessi sono dovuti. A proposito del diritto transitorio Kieser, op. cit., pag. 306 n. 26 ad art. 26, in materia di prestazioni, rileva: " Die Neueinführung des Verzugszinses erfordert übergangsrechtliche Entscheidungen. Dabei muss insbesondere entschieden werden, welches der massgebende, die Bestimmung des anwendbaren Rechts steuernde Tatbestand ist. Bei Verzugszinsen ist dies grundsätzlich derjenige Zeitpunkt, in welchem die verspätete geschuldete Leistung erbracht wird. Entsprechend hat die Rechtsprechung festgelegt, dass die Frist zur Geltendmachung des Verzugszinses erst in demjenigen Zeitpunkt zu laufen beginnt, in welchem die (verspätete) Leistung eingeht (BGE 119 V 239 f.). Art. 26 ATSG ist deshalb anwendbar, wenn die (verspätete) Leistung nach dem Inkraftreten des Gesetzes erfolgt. Allerdings ist bei der Berechnung des Zinses nur die Zeit ab dem Inkrafttreten des Gesetzes zu berücksichtigen (vgl. ATSG-Kommentar, Art. 82 Rz. 9)." In concreto la Cassa ha chiesto il pagamento degli interessi dal 9 dicembre 2002, con un precetto esecutivo del 16 gennaio 2003 su partecipazioni ai costi e franchigia del 2001 e 2002. Alla luce di quanto sopra esposto, in concreto, prima del 1° gennaio 2003 la Cassa non poteva chiedere il pagamento di interessi di mora (Gerhard Eugster, Krankenversicherung, pag. 185, nota 828, Ueli Kieser, ATSG Kommentar, ad art. 26, in particolare pag. 309, DTF 101 V 114, DTF 108 V 13). Gli interessi, al 5%, possono invece essere chiesti con effetto dal 1.1.2003 (cfr. anche e contrario il Bollettino n° 122 dell'UFAS all'attenzione delle casse di compensazione AVS del 10 gennaio 2003, dove, in materia di prestazioni, gli interessi sono calcolati dal 1.1.2003 anche se la prestazione è dovuta precedentemente all'entrata in vigore della LPGA). In simili condizioni, su questo punto il ricorso va parzialmente accolto e la decisione va modificata di conseguenza. 2.10.   Per quanto concerne l'incasso forzato di somme quali quelle in discussione,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è dunque legittimata a rigettare l'opposizione ai sensi dell'art. 80 LEF. Alla luce degli argomenti sviluppati in precedenza il ricorso va parzialmente accolto. La decisione va modificata nel senso che le spese di fr. 35 non sono dovute, mentre gli interessi di mora vanno calcolati unicamente dal 1.1.2003. L'opposizione è tolta limitatamente all'importo di fr. 278,65, oltre agli interessi al 5% dal 1.1.2003. 2.11.   Infine, l'assicurata chiede di poter beneficiare delle ripetibili.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del 20 agosto 2003 nella causa B., C 56/03, ha, in particolare, sviluppato le seguenti considerazioni: " (…) 1.1 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 11 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 nur noch von beschränkter Tragweite, wie sich aus nachstehender Erwägung ergibt.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 disposizione cantonale suenunciata e alla luce della giurisprudenza federale appena illustrata, anche nel nostro Cantone, la regolamentazione cantonale non deve essere adeguata all'art. 61 lett. g LPGA che è dunque immediatamente applicabile (cfr. STCA del 24 novembre 2003, nella causa C., inc. __________). Per quanto concerne l'indennità per ripetibili, essa può venire assegnata, di regola, solo al ricorrente vittorioso patrocinato in causa (cfr. art. 22 LPTCA;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T. Locher, Grundriss des Sozialversicherungsrechts, Berna 1997, pag. 394). Ancora recentemente con sentenza pubblicata in Pratique VSI 2004 pag. 60 = DTF 119 V 113, il TFA ha affermato: "</w:t>
      </w:r>
    </w:p>
    <w:p>
      <w:r>
        <w:rPr>
          <w:b/>
        </w:rPr>
        <w:t>E. 4.1</w:t>
      </w:r>
    </w:p>
    <w:p>
      <w:r>
        <w:t>Selon la jurisprudence, l'avocat qui procède en sa propre cause, n'a qu'exceptionnellement droit à des dépens (ATF 110 V 132 consid. 4a = RCC 1984 p. 280 consid. 4a). Les conditions énoncées dans l'ATF 110 V 134 consid. 4d = RCC 1984 p. 281 (affaire complexe dont l'enjeu est important; grande quantité de travail; rapport raisonnable entre le travail effectué et le résultat de la défense des intérêts) doivent être remplies cumulativement. Ce n'est qu'exceptionnellement que les mandataires professionnels qui ont un intérêt personnel à l'issue du procès ont droit à des dépens. Une telle hypothèse doit être admise lorsque l'octroi litigieux de prestations diminue leur devoir d'assistance (art. 328 CC) (arrêt non publié T. du 21 juin 1999, I 601/98), lorsqu'ils représentent un enfant mineur en tant que détenteur de l'autorité parentale (art. 296 ss) (RCC 1984, p. 290 consid. 3) ou lorsqu'ils agissent pour leur conjoint dans le cadre du devoir d'assistance du droit matrimonial (art. 159 al. 3 CC) (RCC 1985 p. 483 consid. 4)." Nel caso di specie non vi è diritto a ripetibili poiché l'assicurata non ha dovuto agire in una causa difficile la cui posta in gioco era importante.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