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36.2004.11 vom 23. Dezember 2003</w:t>
      </w:r>
    </w:p>
    <w:p>
      <w:r>
        <w:t>TI Tribunale d'appello, 2003-12-23, IT</w:t>
      </w:r>
    </w:p>
    <w:p>
      <w:r>
        <w:rPr>
          <w:b/>
        </w:rPr>
        <w:t xml:space="preserve">Quelle: </w:t>
      </w:r>
      <w:r>
        <w:t>https://mcp.opencaselaw.ch/entscheid/ti_gerichte_36.2004.11</w:t>
      </w:r>
    </w:p>
    <w:p>
      <w:r>
        <w:t>FR: TI_GERICHTE 36.2004.11 du 23 décembre 2003</w:t>
      </w:r>
    </w:p>
    <w:p>
      <w:r>
        <w:t>IT: TI_GERICHTE 36.2004.11 del 23 dicembre 2003</w:t>
      </w:r>
    </w:p>
    <w:p>
      <w:pPr>
        <w:pStyle w:val="Heading2"/>
      </w:pPr>
      <w:r>
        <w:t>Regeste</w:t>
      </w:r>
    </w:p>
    <w:p>
      <w:r>
        <w:t>Sentenza o decisione senza scheda</w:t>
      </w:r>
    </w:p>
    <w:p>
      <w:pPr>
        <w:pStyle w:val="Heading2"/>
      </w:pPr>
      <w:r>
        <w:t>Erwägungen</w:t>
      </w:r>
    </w:p>
    <w:p>
      <w:r>
        <w:rPr>
          <w:b/>
        </w:rPr>
        <w:t>E. 1</w:t>
      </w:r>
    </w:p>
    <w:p>
      <w:r>
        <w:t>I coniugi provvedono in comune, ciascuno nella misura delle sue forze, al debito mantenimento della famiglia.</w:t>
      </w:r>
    </w:p>
    <w:p>
      <w:r>
        <w:rPr>
          <w:b/>
        </w:rPr>
        <w:t>E. 2</w:t>
      </w:r>
    </w:p>
    <w:p>
      <w:r>
        <w:t>Essi s’intendono sul loro contributo rispettivo, segnatamente circa le prestazioni pecuniarie, il governo della casa, la cura della prole o l’assistenza nella professione o nell’impresa dell’altro.</w:t>
      </w:r>
    </w:p>
    <w:p>
      <w:r>
        <w:rPr>
          <w:b/>
        </w:rPr>
        <w:t>E. 3</w:t>
      </w:r>
    </w:p>
    <w:p>
      <w:r>
        <w:t>I genitori sono liberati dall’obbligo di mantenimento nella misura in cui si possa ragionevolmente pretendere che il figlio vi provveda da sé con il provento del suo lavoro o con altri mezzi". Questa norma persegue lo scopo di determinare l'oggetto e l'estensione dell'obbligo di mantenimento di padre e madre nell'ambito degli effetti generali della filiazione (RAMI 2000 p. 235). Secondo l'art. 278 CCS " Durante il matrimonio i genitori sopportano le spese del mantenimento del figlio secondo le disposizioni del diritto matrimoniale. I coniugi si devono vicendevolmente adeguata assistenza nell'adempimento dell'obbligo verso i figli nati prima del matrimonio." Questa normativa concretizza l'obbligo di assistenza tra coniugi di cui all'art. 159 CCS, secondo cui: " La celebrazione del matrimonio crea l'unione coniugale I coniugi si obbligano a cooperare alla prosperità dell'unione e a provvedere in comune ai bisogni della prole. Essi si devono reciproca assistenza e fedeltà." 2.8.1   Per quanto riguarda i figli comuni l'obbligo di pagare i premi che li riguardano (RAMI 2000 no. 129 consid. 2b p. 234 e 235) è sopportato dai genitori, che devono provvedere in comune al loro mantenimento (art. 276 cpv. 1 CCS; cfr. anche art. 278 cpv. 1 CCS; art. 163 CCS). Poiché questi contributi fanno parte dei bisogni correnti della famiglia ai sensi dell'art. 166 cpv. 1 CCS (RAMI 1993 p. 86 consid. 2b)aa), i genitori sono responsabili solidalmente del loro pagamento in base all'art. 166 cpv. 1 CCS, se non sono separati (Eugster, op. cit., p. 182 N 817; RAMI 1993 K 914 p. 86). 2.8.2   Per quanto concerne i figli nati prima del matrimonio (tema qui non in discussione ma che pare utile evidenziare) il coniuge del genitore naturale non ha un obbligo di mantenimento nei confronti di questo figlio (Rep. 1999 p. 60 consid. 3c e dottrina citata), ma un dovere di adeguata assistenza nei confronti del genitore naturale obbligato al mantenimento (cfr. DTF 126 III 353 consid. 4a e b non pubb.). Questo implica ad esempio che un coniuge contribuisca in misura superiore al mantenimento della famiglia, affinché l'altro possa far maggiormente fronte ai suoi obblighi nei confronti del figlio oppure che gli metta a disposizione dei mezzi per far fronte a questo onere (DTF 115 III 103; STFA inedita del 31 gennaio 2000 in re D, consid. 6b; Rep. 1999 p. 60). L'obbligo di assistenza ha tuttavia un ruolo sussidiario rispetto all'obbligo di mantenimento, con cui non dev'essere confuso (art. 278 cpv. 1 CCS; STFA inedita del 24 ottobre 2000 in re B consid. 2a; DTF 126 III succitato consid. 4b non pubbl.). In effetti l'obbligo di mantenimento del genitore naturale ha la precedenza (DTF 127 III 68; Rep 1999 p. 60); quindi è di regola questo genitore a dover provvedere al mantenimento del figlio, anche se quest'ultimo abita con il patrigno e con la madre naturale (art. 276 cpv. 2 CCS). Nel caso in cui il figlio viva in comunione domestica con il figlio del genitore naturale (DTF 115 III 106 consid. 4), il patrigno interverrà se l'importo del genitore naturale non è sufficiente e sopporterà il rischio della mancata realizzazione del contributo alimentare (DTF 120 II 285 consid. 2b e dottrina citata). In dottrina è controversa la determinazione della misura in cui i costi di mantenimento a favore del figlio di un solo coniuge facciano parte del mantenimento della famiglia (art. 163 CCS), gli autori concordano comunque sul fatto che l'obbligo di mantenimento presupponga la vita in comune (DTF 126 III 353 consid. 4b non pubbl.; DTF 115 III 106 consid. 4; DTF 120 II 285). In conclusione quindi se un figlio di un solo coniuge vive in comunione domestica con la coppia, il suo mantenimento può divenire parte del mantenimento generale della famiglia, a cui gli sposi devono far fronte in comune ai sensi dell'art. 163 cpv. 1 CCS (STFA inedita del 24 ottobre 2000 in re B consid. 2a e dottrina citata; DTF 126 III 353 consid. 4b non pubbl). In questo caso allora la responsabilità dei coniugi è solidale, se si tratta di bisogni correnti (art. 166 CCS). 2.9.   Nel caso concreto dagli atti si evince che __________ nato nel __________, la moglie __________ nata nel __________, nonché i figli __________, __________ e __________ e __________ sono tutti assicurati presso __________ almeno dal giugno 1998 sia per la copertura obbligatoria delle cure medico sanitarie che per alcune coperture complementari. La contestazione al proposito formulata dalla ricorrente appare destituita di sostanza come evidenziato al punto 2.4. __________ ha prodotto documentazione che attesta la copertura (anche se non ha prodotto la proposta d'assicurazione) mentre __________ non ha prodotto la polizza di un altro assicuratore malattie abilitato ai sensi della LAMal per il periodo in discussione. Il doc. _, risposta del Controllo abitanti della Città di __________ a richiesta di informazioni dell'assicuratore, e per esso da parte di __________, indica il matrimonio tra i signori __________ è stato contratto il __________ 1985 a __________. È inoltre accertata, e la circostanza non è d'altra parte contestata dalla ricorrente, l'entità del premio richiesto. Il giudice delegato ha dovuto richiamare l'assicuratore al versamento agli atti delle polizze assicurative per il periodo in discussione ossia da gennaio 1999 a ottobre 2000. L'assicuratore avrebbe dovuto provvedere autonomamente ed in futuro non sarà più richiamato ai suoi obblighi con le conseguenze di mancata prova del credito. L'ammontare del credito è quindi così calcolata: __________ __________ __________ __________ __________ __________ premio mensile 1999 (da gennaio a dicembre) 222.50 222.50 67.- 67.- 67.- 67.- premio mensile 2000 (da gennaio a ottobre) 222.50 222.50 67.- 67.- 67.- 67.- per un totale mensile di CHF 713.- sia per il 1999 che per il 2000 così come indicato da __________. L'ammontare complessivo dei premi dovuti assomma a CHF 15'686.-. Come detto la ricorrente non ha contestato l'entità del premio e comunque non ha dimostrato o reso verosimile il pagamento dei predetti premi in tutto od in parte. Alla luce della giurisprudenza citata in precedenza e viste le norme legali richiamate la signora __________ va ritenuta, contrariamente alla sua opinione, responsabile del pagamento dei suoi premi personali, di quelli del marito rispettivamente del pagamento dei premi dei 4 figli minorenni negli anni di riferimento (1.1.1999 a 31.10.2000). L'assicuratore ha quindi il diritto di incassare dalla ricorrente il complessivo premio evocato. 2.10.   Con il PE __________del</w:t>
      </w:r>
    </w:p>
    <w:p>
      <w:r>
        <w:rPr>
          <w:b/>
        </w:rPr>
        <w:t>E. 7</w:t>
      </w:r>
    </w:p>
    <w:p>
      <w:r>
        <w:t>luglio 2003 dell'UE di __________, oltre all'incasso dell'importo dei premi citati e delle spese esecutive maturate nell'ambito della procedura contro il marito per CHF 15'908,90 con interessi dal 5 giugno 2003, l'assicuratore chiede il versamento di CHF 20.- per "Questa perdita di mora" . Come già evocato in una sentenza di recente intimazione al rappresentante dell'assicuratore (sentenza del __________ in re __) l'espressione usata – per utilizzare un eufemismo – è "incomprensibile". In sede di decisione su opposizione l'importo richiesto è stato qualificato – in lingua italiana e non gergo pseudo tecnico – quale "spese di incasso".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(cfr. anche RAMI 2003 pag. 226).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verursacht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condizioni generali d'assicurazione (CGA) non sono state prodotte da __________ e ciò nonostante un invito del giudice delegato a produrre "… ogni altro documento atto a comprovare il credito…" . Alla luce di tale lacuna la pretesa non può essere accolta siccome non comprovata dall'assicuratore. 2.11.   Alla luce di quanto precede il ricorso va parzialmente accolto esclusa la pretesa di CHF 20.- di cui è cenno. Per quanto concerne l'incasso forzato di somme quali quelle in discussione,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avere formalmente deciso in merito alla propria pretesa. La Cassa malati, in tali casi, è dunque legittimata a rigettare l'opposizione ai sensi dell'art. 80 LEF. Alla luce di ciò l'opposizione interposta dalla ricorrente al PE __________ UE __________ del 7 luglio 2003 va rigettata limitatamente a CHF 15'908.90 oltre alle spese esecutive ed interessi maturati.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