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36.2003.92 vom 3. Dezember 2003</w:t>
      </w:r>
    </w:p>
    <w:p>
      <w:r>
        <w:t>TI Tribunale d'appello, 2003-12-03, IT</w:t>
      </w:r>
    </w:p>
    <w:p>
      <w:r>
        <w:rPr>
          <w:b/>
        </w:rPr>
        <w:t xml:space="preserve">Quelle: </w:t>
      </w:r>
      <w:r>
        <w:t>https://mcp.opencaselaw.ch/entscheid/ti_gerichte_36.2003.92</w:t>
      </w:r>
    </w:p>
    <w:p>
      <w:r>
        <w:t>FR: TI_GERICHTE 36.2003.92 du 3 décembre 2003</w:t>
      </w:r>
    </w:p>
    <w:p>
      <w:r>
        <w:t>IT: TI_GERICHTE 36.2003.92 del 3 dicembre 2003</w:t>
      </w:r>
    </w:p>
    <w:p>
      <w:pPr>
        <w:pStyle w:val="Heading2"/>
      </w:pPr>
      <w:r>
        <w:t>Regeste</w:t>
      </w:r>
    </w:p>
    <w:p>
      <w:r>
        <w:t>Sentenza o decisione senza scheda</w:t>
      </w:r>
    </w:p>
    <w:p>
      <w:pPr>
        <w:pStyle w:val="Heading2"/>
      </w:pPr>
      <w:r>
        <w:t>Erwägungen</w:t>
      </w:r>
    </w:p>
    <w:p>
      <w:r>
        <w:rPr>
          <w:b/>
        </w:rPr>
        <w:t>E. 1</w:t>
      </w:r>
    </w:p>
    <w:p>
      <w:r>
        <w:t>Le disposizioni della legge federale del 6 ottobre 2000 sulla parte generale del diritto delle assicurazioni sociali (LPGA) sono applicabili all'assicurazione malattie, sempre che la presente legge non preveda espressamente una deroga alla LPGA.</w:t>
      </w:r>
    </w:p>
    <w:p>
      <w:r>
        <w:rPr>
          <w:b/>
        </w:rPr>
        <w:t>E. 2</w:t>
      </w:r>
    </w:p>
    <w:p>
      <w:r>
        <w:t>Esse non sono applicabili ai seguenti settori: a.   autorizzazione ed esclusione di fornitori di prestazioni (art. 35-40 e 59); b.   tariffe, prezzi e stanziamento globale di bilancio (art. 43-55); c. 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Sino alla fine del 2002 in materia di assicurazione malattia il legislatore aveva regolamentato la materia agli artt. 80 e segg. LAMal. Secondo la vecchia legge,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dunque,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L'art. 86 cpv. 2 LAMal prevede che l'interessato può presentare ricorso nell'ipotesi in cui la Cassa malati non emani, come detto, la decisione su opposizione. Si tratta di un ricorso per denegata giustizia (M. Maurer, Das Neue Krankenversicherungsrecht, Basilea 1996, p. 171). La legge fissa, per l'emanazione del provvedimento di cui all'art. 80 cpv. 1 LAMal, un termine di 30 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In sostanza la precedente normativa regolava il tema della denegata giustizia come la nuova LPGA che permette all'assicurato di adire il Tribunale Cantonale delle Assicurazioni in assenza di emanazione di una decisione o di decisione su opposizione. Nel caso in esame, alla luce dell'emanazione della decisione formale l’11 ottobre 2002, ritenuto lo scritto dell'assicurato di data 11 novembre 2002 e la pretesa omissione di emanazione di una decisione su opposizione, va ritenuta applicabile la previgente LAMal e quindi le norme citate qui di seguito sono quelle vigenti sino a fine 2002. 2.3.  L'insorgente contesta nel merito le pretese della Cassa Malati __________, indicando di non essere assicurato presso la stessa, proceduralmente l’assicurato non accetta l’agire dell’assicuratore, ossia chiede che __________ sia costretta ad emanare le decisioni formali richieste. In altri termini il ricorrente contesta la validità della procedura adottata dalla Cassa, la quale avrebbe proceduto nelle vie esecutive, con la domanda di prosecuzione dell’esecuzione, senza precedentemente intimargli una decisione formale su opposizione a fronte della sua lettera 11 novembre 2002. Come anticipato nelle considerazioni d’ordine giusta l'art. 80 capoverso 1 LAMal vigente fino alla fine del 2002, se l'assicurato non accettava una risoluzione dell'assicuratore, quest'ultimo doveva emanare una decisione scritta entro 30 giorni a decorrere dall'esplicita domanda dell'assicurato. Il capoverso 2 della medesima norma prevedeva che l'assicuratore doveva motivare la decisione ed indicare il rimedio giuridico; la notifica irregolare di una decisione non poteva essere di pregiudizio all'assicurato. Le decisioni rese dagli assicuratori sulla base del citato art. 80 vLAMal erano poi impugnabili con opposizione entro 30 giorni all'organo che le ha notificate (art. 85 cpv. 1 vLAMal). La procedura d'opposizione era gratuita (art. 85 cpv. 2 vLAMal). Entro trenta giorni l'assicurato poteva impugnare mediante ricorso la decisione su opposizione davanti al Tribunale delle Assicurazioni (art. 86 cpv. 1 vLAMal) per quanto riguarda il Cantone Ticino. Se tale termine trascorreva infruttuoso, le decisioni dell'assicuratore acquistavano forza di cosa giudicata. Questo era l'iter procedurale posto in essere dalla LAMal nel caso di richieste di prestazioni non accolte o accolte soltanto parzialmente dall’assicuratore sino al 31 dicembre 2002. Dal 1° gennaio 2003 la procedura, come detto, è retta dalla nuova LPGA e dalle nuove norme degli artt. 80 e segg. LAMal, ma – come indicato in precedenza - non è dissimile da quella precedentemente in vigore. 2.4.  Nel caso specifico __________ è stato escusso con il PE __________, si è opposto all’esecuzione ed __________ ha emanato una decisione con cui l’opposizione è rigettata. Da rilevare come la decisione non brilli per chiarezza recando la composizione del credito non di seguito al punto 1 ma in coda al punto 2. Poco importa comunque ritenuto che, anche se ai limiti inferiori sia da un punto di vista linguistico che di contenuti, la decisione è comprensibile ed è stata correttamente recepita dall’assicurato. Questi ha inoltrato una opposizione chiara nel suo tenore, come egli stesso ribadisce, come __________ riconosce e come già evidenziato nella sentenza 2/9 maggio 2003 in analoga situazione. Nella lettera 11 novembre 2002 l’assicurato ha contestato la presa di posizione della Cassa, negando nella sostanza di dovere danari ad __________, si è sostanzialmente lamentato dell’agire dell’Amministrazione che ha proceduto a far spiccare nei suoi confronti precetti esecutivi, ha diffidato l’assicuratore malattia a comprovare il suo buon diritto. __________, poco importa qui accertare se nel merito abbia ragione o torto non essendo il tema della sentenza, ha contestato l’esistenza di un contratto in essere con __________. Più chiara di così l’opposizione non poteva essere. V’è da domandarsi se lo scritto, recapitato come ammette nella sostanza l’amministrazione e come sufficientemente dimostrato dall’assicurato (che sopporta spese d’invio non indifferenti con le spedizioni per raccomandata con avviso di ricevuta), sia stato anche recepito, ossia letto con la dovuta attenzione. __________ non ha emanato comunque una decisione su opposizione ma, nonostante la comunicazione inviata per raccomandata AR e diretta all’ufficio competente all’attenzione della persona indicata come preposta a ricevere le opposizioni, ha domandato la prosecuzione dell’esecuzione. 2.5.  Nel caso di specie, quindi, la Cassa non ha emanato la decisione su opposizione che si imponeva ed ha invece attestato che la sua decisione dell’11 ottobre 2002 era cresciuta in giudicato. La decisione, sulla scorta della quale l'Amministrazione ha domandato il proseguimento della procedura, non risultava invece cresciuta in giudicato essendo stata introdotta tempestiva, chiara ed esplicita opposizione. La Cassa non poteva quindi ottenere la prosecuzione dell’esecuzione forzata nei confronti dell’assicurato. La violazione commessa dalla __________ appare decisamente grave, soprattutto perché in tutto simile a quanto avvenuto appena pochi mesi prima ed oggetto di sentenza di questo Tribunale Cantonale delle Assicurazioni del 2/9 maggio 2003. Alla lettura della citata sentenza __________ avrebbe dovuto rivedere la posizione del signor __________ e verificare il suo agire con riferimento alle altre procedure, in ogni modo la domanda di proseguire l’esecuzione del 18 luglio 2003 non doveva essere inoltrata all’Ufficio competente. Stante quanto precede all'assicuratore malattia va quindi fatto obbligo di emanare una decisione impugnabile nei tempi più contenuti. La domanda di prosecuzione dell'esecuzione della __________ era indubbiamente prematura e fondata su decisione non cresciuta in giudicato. 2.6.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L'art. 23 LEF prevede che i Cantoni designano le autorità giudiziarie competenti per le decisioni deferite al giudice dalla legge. In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Nei casi in cui un Ufficio esecuzioni faccia proseguire l'esecuzione in presenza di opposizione alla decisione della Cassa malati, rispettivamente quando sia stato inoltrato un ricorso, l'autorità competente per decidere circa la nullità della decisione dell'autorità esecutiva è l'autorità di vigilanza, ossia la CEF, in conformità dei sopra esposti artt. 22 LEF e 10 LALEF. Il TCA, per contro, può e deve rigettare in via definitiva l'opposizione ad un precetto esecutivo in tutto od in parte, laddove la decisione dell'autorità amministrativa si riveli corretta (almeno in parte). Il TFA, per costante giurisprudenza, ha precisato che: " (…) auf dem Gebiete der Sozialversicherung ist dabei die erstinstanzlich verfügende Verwaltungsbehörde, die kantonale Rekursbehörde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Questo Tribunale deve quindi potere accertare la correttezza rispettivamente la validità della decisione di merito. Le decisioni della Cassa in discussione non sono cresciute in giudicato. Non è invece data competenza al TCA circa la questione a sapere se un atto dell'Ufficio esecuzione e fallimenti è nullo (cfr. artt. 20 LEF e 10 LALEF). Nella fattispecie si giustifica pertanto l’invio degli atti e di copia della presente sentenza alla CEF per il giudizio di sua competenza, ciò in considerazione del fatto che il ricorrente ha chiesto trasmissione del suo gravame in copia alla CEF ed all’UE (I). 2.7.  Alla luce di quanto precede, nella misura in cui il gravame tende all’accertamento di un ingiustificato ritardo da parte della Cassa malati nell’emanazione della decisione su opposizione, lo stesso va accolto. L’assicuratore è quindi invitato a procedere nei suoi incombenti. Trattandosi del secondo caso analogo __________ viene formalmente invitata a maggiore diligenza nell'esecuzione dei suoi compiti con conseguente maggiore rispetto per l'assicurato. Visto l’esito dell’impugnativa non vengono caricate tasse e spese alle parti. Per quanto attiene alle ripetibili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Va ricordato,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zürucherischen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D’avviso di questo Tribunale Cantonale delle Assicurazioni nel caso concreto, nonostante la palese superficialità e leggerezza di __________ nella trattazione del caso, non si giustifica un riconoscimento di ripetibili in favore dell’assicurato che ha esercitato i suoi diritti di impugnativa in un ambito dove al giudice è fatto obbligo di accertare d’ufficio i fatti e l’applicazione del diritto. Il discorso è invece diverso per il rimborso delle spese processuali. Apparirebbe infatti lesivo del principio di equità se, in una fattispecie come quella in discussione, visto l’atteggiamento dell’amministrazione (che neppure è stato adeguatamente giustificato a domanda del giudice delegato), a carico dell’assicurato dovessero permanere delle spese vive sopportate. Si giustifica quindi il loro carico all’assicuratore. Nel caso concreto, alla luce degli scritti redatti da __________, i suoi invii e le copie allestite nell'ambito di tutta la procedura appare giustificato fissare in CHF 150.- le spese che __________ dovrà rimborsare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