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36.2003.77 vom 10. März 2004</w:t>
      </w:r>
    </w:p>
    <w:p>
      <w:r>
        <w:t>TI Tribunale d'appello, 2004-03-10, IT</w:t>
      </w:r>
    </w:p>
    <w:p>
      <w:r>
        <w:rPr>
          <w:b/>
        </w:rPr>
        <w:t xml:space="preserve">Quelle: </w:t>
      </w:r>
      <w:r>
        <w:t>https://mcp.opencaselaw.ch/entscheid/ti_gerichte_36.2003.77</w:t>
      </w:r>
    </w:p>
    <w:p>
      <w:r>
        <w:t>FR: TI_GERICHTE 36.2003.77 du 10 mars 2004</w:t>
      </w:r>
    </w:p>
    <w:p>
      <w:r>
        <w:t>IT: TI_GERICHTE 36.2003.77 del 10 marzo 2004</w:t>
      </w:r>
    </w:p>
    <w:p>
      <w:pPr>
        <w:pStyle w:val="Heading2"/>
      </w:pPr>
      <w:r>
        <w:t>Regeste</w:t>
      </w:r>
    </w:p>
    <w:p>
      <w:r>
        <w:t>Sentenza o decisione senza scheda</w:t>
      </w:r>
    </w:p>
    <w:p>
      <w:pPr>
        <w:pStyle w:val="Heading2"/>
      </w:pPr>
      <w:r>
        <w:t>Erwägungen</w:t>
      </w:r>
    </w:p>
    <w:p>
      <w:r>
        <w:rPr>
          <w:b/>
        </w:rPr>
        <w:t>E. 38</w:t>
      </w:r>
    </w:p>
    <w:p>
      <w:r>
        <w:t>cpv. 2 LCA, applicabile se le parti non hanno previsto alcuna norma contrattuale che vi deroghi (cfr. supra), la giurisprudenza ha stabilito che la sanzione dell'annuncio tardivo d'un incidente è quella descritta al cpv. 2 e non comporta, ipso facto, la perdita dei diritti dell'assicurato (TF RUA V n° 172, Carré, op. cit., ad art. 38, pag. 279). Per poter comportare la riduzione o la soppressione dell'indennità assicurativa, la violazione dell'avviso immediato del sinistro deve essere colposa oppure risultare dall'intenzione dell'avente diritto di impedire l'assicuratore di costatare, in tempo utile, le circostanze del sinistro (TF RUA V n° 169/172; TC NE RUA XVI n° 36). Sempre per quanto concerne l'art. 38 cpv. 2 LCA, applicabile quando mancano disposizioni contrattuali contrarie, la giurisprudenza ha stabilito che la tardività dell'avviso è senza conseguenze se non ha potuto aggravare la situazione dell'assicuratore (TC VD RUA V n° 168), ossia né il principio né l'estensione della responsabilità (TC SH RUA VII n° 152/205). Nel caso di specie le parti hanno derogato, tramite le norme previste dalle CCA (art. da 19 a 21 CCA), all'art. 38 cpv. 2 LCA, prevedendo una perdita del diritto al rimborso dei costi di trasporto e di salvataggio in caso di avviso di sinistro non notificato immediatamente alla centrale di pronto soccorso __________. Per cui l'attrice, dall'art. 38 cpv. 2 LCA, non può far derivare alcun diritto, in particolare per quanto concerne le spese che la convenuta avrebbe dovuto sopportare in caso d'intervento da parte della __________. Ne discende che è superfluo far allestire una perizia sull'intervento e sui costi di un salvataggio organizzato dall'assicuratore previo allarme della centrale di soccorso, come richiesto dall'interessata (cfr. doc. _). Va a questo proposito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2.7.   Va ora esaminato se l'assicurata può prevalersi dell'art. 45 cpv. 1 LCA giusta il quale se fu convenuta una sanzione per il caso in cui lo stipulante o l'avente diritto manchi ad un obbligo, egli non incorre nella sanzione quando risulti dalle circostanze che la mancanza non è imputabile a colpa. Per l'art. 45 cpv. 3 LCA quando il contratto o la legge vincoli l'esistenza di un diritto derivante dall'assicurazione all'osservanza di un termine lo stipulante o l'avente diritto può compiere l'atto omesso senza colpa non appena l'impedimento sia tolto. L'assicurato, per evitare di perdere la sua pretesa, deve provare che è stato impedito di dare l'avviso del sinistro per ragioni oggettive e che non gli sono imputabili (DTF 115 II 88). Il prenditore dell'assicurazione non può invocare l'art. 45 LCA se per negligenza ha annunciato il sinistro tardivamente. Sono motivi invocabili: la malattia dell'assicurato, l'impossibilità di procurarsi pezze giustificative, l'attitudine dell'assicuratore, del suo agente o di certe autorità (DTF 84 II 556, RUA XI n° 58, Carré, op. cit., ad art. 45, pag. 316). E' necessario reagire immediatamente dopo la fine dell'impedimento (TF RUA V n° 184, TF RUA IV n° 134/240; TD di Sargans RUA XV n° 70; Tciv. BS RUA VI n° 160/185; CA BE RUA IV n° 127). Agisce immediatamente colui al quale non può più essere rimproverato alcun ritardo da quel momento, avuto riguardo delle circostanze del caso (TF RUA V n° 184). Quando l'assicurato è stato impedito senza sua colpa di annunciare il sinistro nel termine previsto contrattualmente, lo deve fare immediatamente, non appena l'impedimento è sparito, poiché l'art. 45 cpv. 3 LCA non lo mette al beneficio di un nuovo termine (CA BE RUA IV n° 127/135). La dottrina (Nef, Basler Kommentar, ad art. 45, pag. 728 segg.) considera infine che sono valide anche le clausole " welche die Nachteile ausdrücklich auch dann eintreten lassen, wenn die Verletzung der Obligenheit sich gar nicht ausgewirkt hat (vgl. Maurer, PVR, 309). Eine andere Frage lautet, ob dem Versicherungsnehmer oder Versicherten die Einrede der mangelnden Kausalität offen steht, wenn diesbezüglih keine ausdrückliche Vertragsabrede getroffen ist. Der Gesetzgeber erteilt in Art. 45 VVG keine Antwort " (…) " Art. 45 VVG bezieht sich demgegenüber nicht nur auf eine bestimmte Obliegenheit des Versicherungsnehmers, sondern stellt eine Schutzbestimmung auf, die für alle Obliegenheiten des Anspruchsberechtigten Geltung beansprucht, freilich bloss in der Verschuldens, nicht in der Kausalitätsfrage. Daraus lässt sich schliessen, dass der Gesetzgeber den Einwand der fehlenden Kausalität nicht generell, sondern nur - aber immerhin! - in den erwähnten speziellen Fällen zulassen wollte, wo das VVG eine ausdrückliche Regel enthält (BGE 57 II 588, 592; Koenig, SPR, 559; vgl. auch Maurer, PVR, 307, 309; für das Kausalitätserfordernis bei Vertragssanktionen grundsätzlich SCHAER, Obliegenheiten, 149 ff.). Das sollte stets gelten wenn der Vertrag diesbezüglich schweigt. " 2.8.   In concreto, dagli atti emerge che in data 3 dicembre 2002, l'assicurata ha avvisato __________ dell'infortunio subito, chiedendo il rimborso, oltre che delle spese di guarigione, anche dei costi del trasporto dal luogo dell'incidente all'ospedale ______. Il giorno dopo ha compilato il formulario di notifica dell'infortunio. L'avviso è pertanto giunto manifestamente in ritardo (cfr. art. 19 CCA). Il giorno dell'infortunio, ossia il 22 ottobre 2002, risulta infatti che il figlio dell'attrice ha organizzato il salvataggio dell'interessata per il tramite della __________, senza tuttavia contattare il centro di pronto soccorso __________ come invece richiedono CCA. Dagli atti non emerge, e nemmeno l'attrice del resto lo fa valere, che un contatto è avvenuto al momento o nei giorni seguenti il ricovero. Seppur comprensibile, il ritardo nella notifica dell'infortunio comporta la perdita del diritto al rimborso dei costi derivanti dal trasporto dal luogo dell'incidente all'ospedale. Infatti, se da una parte, vista la gravità di quanto successo e il comprensibile stato di panico nel quale inizialmente si trovava l'assicurata, non si poteva pretendere una telefonata immediata alla centrale dell'assicuratore, dall'altra, non va dimenticato che il figlio, presente al momento dell'incidente, ha potuto organizzare il trasporto. L'attrice non fa valere motivi per i quali non sarebbe stato possibile avvisare anche l'assicuratore. Inoltre, dalla descrizione dell'infortunio risulta che per circa due ore l'elicottero, che doveva trasportare l'assicurata all'ospedale, non è decollato (" Purtroppo l'elicottero, che era pronto alle 1230 per partire, è decollato solo alle 1430 a causa di "ingiustificate paure" riguardo la copertura delle spese. ", doc. _, inc. __________). Per cui, anche in questo lasso di tempo sarebbe stato possibile avvisare la centrale di soccorso. Inoltre, e in ogni caso, non risulta, e nemmeno l'assicurata lo fa valere, di aver perlomeno avvisato __________ una volta ricoverata presso l'ospedale __________. Solo di ritorno in Svizzera, a fine novembre, l'attrice ha notificato l'incidente (doc. _, inc. __________). Va ancora rilevato che il 19 novembre 2002 il figlio dell'attrice ha compilato un formulario di notifica alla __________ (cfr. doc. _ alla posta "firma" figura: "il figlio __________ membro della __________ e presente sul luogo dell'incidente, x procura, perché __________ torna dal __________ solo il 27.11.2003 ", doc. _), indicando che l'assicuratore malattia della madre era la __________. Oltre ad essere a conoscenza del nome dell'assicuratore, il 19 novembre 2002 sembrava essere in possesso anche di una procura. Tuttavia, l'avviso all'assicuratore è avvenuto alcune settimane più tardi. Ne discende che l'assicurata non ha avvisato immediatamente __________, come prevedono invece le CGA, e che in ogni caso, anche se per ipotesi di lavoro si volesse considerare che l'interessata era impossibilitata, senza sua colpa, a comunicare immediatamente con l'assicuratore, nemmeno dopo la cessazione dell'impedimento ha agito immediatamente, come invece prevede l'art. 45 cpv. 3 LCA. L'attrice non ha pertanto diritto ad alcun rimborso. Va infine rilevato che l'allestimento di una perizia in punto alla questione a sapere quanto sarebbe costato un intervento tramite la _____ non è necessario, poiché la perdita del diritto al rimborso è indipendente dalla presenza o meno di un nesso causale tra il mancato avviso e l'insorgere dei costi dell'intervento (cfr. Nef, supra al consid. 2.7 e, per quanto concerne l'apprezzamento anticipato delle prove, consid. 2.6 in fine). In queste circostanze la petizione va respinta. 2.9.   Secondo l'art. 47 cpv. 4 LSA, i tribunali svizzeri devono trasmettere gratuitamente all'autorità di sorveglianza una copia di tutte le sentenze civili concernenti disposizioni del diritto in materia di contratto d'assicurazione. Con lettera del 14 agosto 2003 l'UFAP ha chiesto al TCA di trasmettergli tutte le sentenze inerenti il diritto privato emesse nel 2002, precisando che l'ufficio federale delle assicurazioni private non ha la facoltà di ricorrere contro le sentenze. Alla luce della LSA e dello scritto dell'UFAP, s'impone la notifica anche della presente sentenza all'autorità di sorveglianza. 2.10. L'art.</w:t>
      </w:r>
    </w:p>
    <w:p>
      <w:r>
        <w:rPr>
          <w:b/>
        </w:rPr>
        <w:t>E. 43</w:t>
      </w:r>
    </w:p>
    <w:p>
      <w:r>
        <w:t>della Legge federale sull'organizzazione giudiziaria (OG) prevede il ricorso per riforma al Tribunale federale per violazione del diritto federale. L'OG prevede in particolare la possibilità di adire il Tribunale Federale contro giudizi cantonali (art. 48 OG) in procedure di carattere non pecuniario in ambiti specifici (art. 44 OG). Rispettivamente è ammissibile il ricorso per riforma in procedure pecuniare in specifici ambiti del diritto senza riguardo al valore pecuniario (art. 45 OG). L'art. 46 dell'OG precisa che: " Nelle cause civili per altri diritti di carattere pecuniario, il ricorso per riforma è ammissibile solo quando, secondo le conclusioni delle parti, il valore litigioso davanti all'ultima giurisdizione cantonale raggiungeva ancora 8'000 franchi almeno." Nel caso di specie, il valore litigioso risulta essere superiore all'importo di fr. 8'000, motivo per il quale il presente giudizio è impugnabile mediante ricorso per riforma al Tribunale Federale di Losanna.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