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36.2003.68 vom 6. November 2003</w:t>
      </w:r>
    </w:p>
    <w:p>
      <w:r>
        <w:t>TI Tribunale d'appello, 2003-11-06, IT</w:t>
      </w:r>
    </w:p>
    <w:p>
      <w:r>
        <w:rPr>
          <w:b/>
        </w:rPr>
        <w:t xml:space="preserve">Quelle: </w:t>
      </w:r>
      <w:r>
        <w:t>https://mcp.opencaselaw.ch/entscheid/ti_gerichte_36.2003.68_d20031106</w:t>
      </w:r>
    </w:p>
    <w:p>
      <w:r>
        <w:t>FR: TI_GERICHTE 36.2003.68 du 6 novembre 2003</w:t>
      </w:r>
    </w:p>
    <w:p>
      <w:r>
        <w:t>IT: TI_GERICHTE 36.2003.68 del 6 novembre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Se non deve essere notificato alle parti, esso inizia a decorrere il giorno dopo l’evento che lo ha provocato.</w:t>
      </w:r>
    </w:p>
    <w:p>
      <w:r>
        <w:rPr>
          <w:b/>
        </w:rPr>
        <w:t>E. 3</w:t>
      </w:r>
    </w:p>
    <w:p>
      <w:r>
        <w:t>Se l’ultimo giorno del termine è un sabato, una domenica o un giorno festivo del Cantone in cui ha domicilio o sede la parte o il suo rappresentante, il termine scade il primo giorno feriale seguente. (…) Art. 39 Osservanza dei termini 1 Le richieste scritte devono essere consegnate all’assicuratore oppure, a lui indirizzate, a un ufficio postale svizzero o a una rappresentanza diplomatica o consolare svizzera al più tardi l’ultimo giorno del termine. 2 Se la parte si rivolge in tempo utile a un assicuratore incompetente, si considera che il termine è stato rispettato. Art. 40 Proroga dei termini e conseguenze dell’inosservanza 1 Il termine legale non può essere prorogato. (…) Art. 41 Restituzione per inosservanza 1 Se il richiedente o il suo rappresentante è stato impedito, senza sua colpa, di agire entro il termine stabilito, lo stesso è restituito, sempre che l’interessato lo domandi adducendone i motivi entro dieci giorni dalla cessazione dell’impedimento. 2 Se la restituzione del termine è concessa, il termine per compiere l’atto omesso decorre dalla notifica della decisione." 2.5.   Nel caso concreto __________ ha comprovato sufficientemente l’emanazione di una decisione con cui ha fissato l’obbligo dell’assicurato di versare il premio per il mese di ottobre, premio dell’assicurazione obbligatoria, oltre a spese nel cui merito non è possibile a questo giudice entrare visto l'oggetto del contendere. In concreto è comprovata l’intimazione della decisione mediante invio raccomandato no. __________ del 1 maggio 2003 con consegna all’Ufficio postale di __________, l’invio è contenuto in una busta recante esternamente il nome della __________, incaricata dalla __________ per l’incasso, e risulta ritornato all’assicuratore, e per esso al mittente, con la stampigliatura di mancato ritiro, il ritorno dell’invio è avvenuto il 13 maggio 2003. 2.6.   Secondo la giurisprudenza del TF, la prova che una decisione è stata notificata incombe all'amministrazione (DTF 103 V 65, DTF 99 Ib 359; Gygi, Bundesverwaltungsrechtspflege, pag. 61). Nel caso in cui la circostanza della ricezione della decisione è litigiosa si deve, nel dubbio, aderire alla versione fornita dal destinatario, vale a dire a quella dell'assicurato (DTF 103 V 66). Infatti se l'amministrazione vuole assicurarsi che la decisione pervenga al destinatario, essa deve spedire l'invio per raccomandata (DTF 101 Ia 7, STCA 17 agosto 1993 nella causa G.; Rhinow/Krähenmann, Schweizerische Verwaltungsrecht- sprechung, Ergänzungsband, §84 V, pag. 284). L’assicuratore ha portato la prova che gli incombeva per cui va ritenuto, in concreto, come l’assicurato non abbia tempestivamente contestato il provvedimento avendolo ricevuto – al più tardi – al termine della settimana di deposito. Il termine di impugnativa scadeva, al più tardi, nel corso della prima metà di giugno 2003. Se ne conclude che la decisione della Cassa Malati __________ è divenuta definitiva e sorregge adeguatamente la procedura d’incasso avviata con il PE citato. Il ricorso per denegata giustizia va allora respinto senza carico di tassa di giustizia e spese al ricorrente e senza attribuzione di ripetibili. La misura provvisionale adottata il 18 settembre 2003 va revocata con comunicazione all'UE di __________ ed alla CEF in sede.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