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36.2002.81 vom 3. Juli 2002</w:t>
      </w:r>
    </w:p>
    <w:p>
      <w:r>
        <w:t>TI Tribunale d'appello, 2002-07-03, IT</w:t>
      </w:r>
    </w:p>
    <w:p>
      <w:r>
        <w:rPr>
          <w:b/>
        </w:rPr>
        <w:t xml:space="preserve">Quelle: </w:t>
      </w:r>
      <w:r>
        <w:t>https://mcp.opencaselaw.ch/entscheid/ti_gerichte_36.2002.81</w:t>
      </w:r>
    </w:p>
    <w:p>
      <w:r>
        <w:t>FR: TI_GERICHTE 36.2002.81 du 3 juillet 2002</w:t>
      </w:r>
    </w:p>
    <w:p>
      <w:r>
        <w:t>IT: TI_GERICHTE 36.2002.81 del 3 luglio 2002</w:t>
      </w:r>
    </w:p>
    <w:p>
      <w:pPr>
        <w:pStyle w:val="Heading2"/>
      </w:pPr>
      <w:r>
        <w:t>Regeste</w:t>
      </w:r>
    </w:p>
    <w:p>
      <w:r>
        <w:t>Sentenza o decisione senza scheda</w:t>
      </w:r>
    </w:p>
    <w:p>
      <w:pPr>
        <w:pStyle w:val="Heading2"/>
      </w:pPr>
      <w:r>
        <w:t>Erwägungen</w:t>
      </w:r>
    </w:p>
    <w:p>
      <w:r>
        <w:rPr>
          <w:b/>
        </w:rPr>
        <w:t>E. 2</w:t>
      </w:r>
    </w:p>
    <w:p>
      <w:r>
        <w:t>novembre 2001 (fr. 300), ha pagato alla __________ parte dei premi arretrati dovuti, riducendo lo scoperto da saldare a fr. 1'899.10, come risulta dallo scritto dell'8 marzo 2002 della Cassa malati all'assicurato (cfr. doc. _). Si rammenta che __________ ha comunicato a __________ di essere disposta a concedergli un pagamento rateale dei premi arretrati  (cfr. doc. _ e doc. _). La decisione della __________ va confermata in questa sede. 2.6.   La Cassa chiede inoltre il pagamento di spese amministrative e di sollecito.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CGA prevedono che i costi di una procedura d'incasso per via esecutiva e altre spese, sono addebitati all'assicurato in mora. Nel caso di una sollecitazione o di una procedura esecutiva è richiesto un indennizzo per i lavori amministrativi. Per cui, nel caso di specie, anche la richiesta delle spese di sollecito e amministrative va confermata. 2.7.   Per quanto concerne l'incasso forzato di simili somme,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avere formalmente deciso in merito alla propria pretesa. La Cassa malati, in tali casi, è dunque legittimata a rigettare l'opposizione ai sensi dell'art. 80 LEF. Alla luce degli argomenti sviluppati in precedenza, la decisione su opposizione del 3 luglio 2002 della __________ merita tutela. Di conseguenza l'opposizione interposta al P.E. dell'UE di __________ n. __________ del 5 settembre 2001 di fr. 2'799.10, oltre fr. 70 di spese di precetto, è rigettata in via definitiva, limitatamente all'importo residuo ancora da pagare di fr. 1'899.10, oltre fr. 70 di spese di precetto.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