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36.2002.63 vom 26. November 2002</w:t>
      </w:r>
    </w:p>
    <w:p>
      <w:r>
        <w:t>TI Tribunale d'appello, 2002-11-26, IT</w:t>
      </w:r>
    </w:p>
    <w:p>
      <w:r>
        <w:rPr>
          <w:b/>
        </w:rPr>
        <w:t xml:space="preserve">Quelle: </w:t>
      </w:r>
      <w:r>
        <w:t>https://mcp.opencaselaw.ch/entscheid/ti_gerichte_36.2002.63</w:t>
      </w:r>
    </w:p>
    <w:p>
      <w:r>
        <w:t>FR: TI_GERICHTE 36.2002.63 du 26 novembre 2002</w:t>
      </w:r>
    </w:p>
    <w:p>
      <w:r>
        <w:t>IT: TI_GERICHTE 36.2002.63 del 26 novembre 2002</w:t>
      </w:r>
    </w:p>
    <w:p>
      <w:pPr>
        <w:pStyle w:val="Heading2"/>
      </w:pPr>
      <w:r>
        <w:t>Regeste</w:t>
      </w:r>
    </w:p>
    <w:p>
      <w:r>
        <w:t>Sentenza o decisione senza scheda</w:t>
      </w:r>
    </w:p>
    <w:p>
      <w:pPr>
        <w:pStyle w:val="Heading2"/>
      </w:pPr>
      <w:r>
        <w:t>Erwägungen</w:t>
      </w:r>
    </w:p>
    <w:p>
      <w:r>
        <w:rPr>
          <w:b/>
        </w:rPr>
        <w:t>E. 4</w:t>
      </w:r>
    </w:p>
    <w:p>
      <w:r>
        <w:t>settimane ed abbia invece unilateralmente fissato una riserva mediante scritto del 1 settembre 2000. Contrariamente a quanto sembra ritenere __________ il contratto concluso dalle parti non permette di emettere delle reticenze retroattive. La Cassa malattia ha applicato, a torto, la giurisprudenza costante relativa agli art. 5 cpv. 3 LAMI e 2 cpv. 1 OIII valida anche in ambito LAMal (v. DTF 125 V 292) secondo cui gli assicuratori hanno la facoltà - nell'ambito dell'assicurazione d'indennità giornaliera facoltativa retta dagli art. 67 e segg. LAMal - di imporre una riserva retroattiva quando posteriormente alla decisione di ammissione (o di aumento della copertura assicurativa), viene constatato che, nel presentare la domanda, il postulante ha taciuto tutte o parte delle malattie di cui soffre, rispettivamente quelle di natura recidivante di cui soffriva in passato (RAMI 1986, 131 segg.; 1983, 225 e segg.; 1981, 129 segg.). Nel caso di specie tale procedere non appare ammissibile. L'assicuratore, alla scoperta della reticenza ritenuta, doveva recedere dal contratto e, semmai, offrire all'assicurato una nuova copertura diversa dalla prima. L'ambito in cui ci si muove è infatti quello della LCA. L’assicuratore, nell’ambito delle coperture complementari, non agisce in quanto amministrazione applicando il diritto pubblico, ma agisce come ente che applica il diritto privato. La Cassa Malattia non poteva quindi imporre, con una decisione unilaterale come quella del 1 settembre 2000 in discussione, una riserva neppure se fosse stata dettagliatamente specificata. La riserva non è stata posta all’inizio del contratto quale clausola di specificazione del rischio (con esclusione dalla copertura di determinate affezioni). La Cassa, nello scritto 3 ottobre 2000 (doc. _), fa esplicito riferimento alla ”decisione formale emessa dalla Cassa il 1 settembre 2000” e nel suo scritto del 1 settembre 2000 indica chiaramente l’intenzione di proseguire nel contratto gravandolo con una riserva (si ripete neppure precisata chiaramente quo al suo contenuto). Lo dimostra il fatto che la reticenza dovrebbe durare “… per tutta la durata del contratto”. __________ ha quindi manifestato la sua intenzione di lasciare in essere il contratto di copertura concluso con l’architetto __________ per quanto attiene alla collaboratrice __________ con la sua comunicazione formale del 1 settembre 2000. Inammissibile appariva invece imporre una riserva retroattiva riferita ad una patologia imprecisata lasciando sussistere il vincolo contrattuale. Alla luce di ciò questo TCA ritiene che, anche se si ammettesse il sussistere di una reticenza dell'assicurata, il contratto per le coperture complementari concluso tra le parti vincoli le stesse, senza riserva e con riferimento alla collaboratrice __________. L'assicuratore dovrà operare i versamenti dovuti secondo contratto. __________ va quindi condannata a versare al datore di lavoro di __________ le indennità contrattualmente previste a partire dal 1° maggio 2000 e sino al termine della malattia come postulato in sede di petizione. 2.8.   __________ chiede infine l'assunzione di ulteriori prove (perizia, interrogatorio formale, acquisizione di documenti, testi, ecc.). Ora,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In particolare una perizia non appare necessaria per accertare la natura della malattia sofferta da __________, la patologia è stata chiaramente accertata dai certificati medici in atti. Anche per quanto attiene la presenza dei primi sintomi della malattia, alla luce delle certificazioni del dott. __________, del dott. __________, e visto come la signora __________ abbia lavorato sino alla fine di aprile 2000, non appare necessario procedere ad ulteriori accertamenti. I fatti essendo sufficientemente chiariti, compreso quanto relativo al versamento dello stipendio grazie alla dichiarazione scritta della signora __________, segretaria presso lo studio dell’arch. __________, non appare necessario procedere all’audizione di testi. 2.9.   Visto quanto precede la petizione 12 novembre 2001 va accolta nella misura in cui contesta l’imposizione di una riserva retroattiva sul contratto (doc. _) concluso tra le parti. Ne discende che __________ non è astretto a riversare all’assicuratore gli importi richiesti in restituzione da __________ con gli scritti 1 settembre 2000, 3 ottobre 2000 e 30 novembre 2000, siccome la somma gli è dovuta contrattualmente. La resistente __________ dovrà invece dare seguito ai suoi obblighi contrattuali e fornire le sue prestazioni secondo contratto per tutto il periodo della malattia subita dalla signora __________ senza considerare il caso oggetto della riserva. Visto l’esito della procedura appare giustificato riconoscere all’attore, patrocinato in causa, alla luce dell’esito favorevole della sua petizione, un importo di CHF 1’800.- a titolo di ripetibili (comprensive dell’IVA) a carico dell’assicuratore.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