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36.2002.61 vom 14. November 2002</w:t>
      </w:r>
    </w:p>
    <w:p>
      <w:r>
        <w:t>TI Tribunale d'appello, 2002-11-14, IT</w:t>
      </w:r>
    </w:p>
    <w:p>
      <w:r>
        <w:rPr>
          <w:b/>
        </w:rPr>
        <w:t xml:space="preserve">Quelle: </w:t>
      </w:r>
      <w:r>
        <w:t>https://mcp.opencaselaw.ch/entscheid/ti_gerichte_36.2002.61</w:t>
      </w:r>
    </w:p>
    <w:p>
      <w:r>
        <w:t>FR: TI_GERICHTE 36.2002.61 du 14 novembre 2002</w:t>
      </w:r>
    </w:p>
    <w:p>
      <w:r>
        <w:t>IT: TI_GERICHTE 36.2002.61 del 14 novembre 2002</w:t>
      </w:r>
    </w:p>
    <w:p>
      <w:pPr>
        <w:pStyle w:val="Heading2"/>
      </w:pPr>
      <w:r>
        <w:t>Regeste</w:t>
      </w:r>
    </w:p>
    <w:p>
      <w:r>
        <w:t>Sentenza o decisione senza scheda</w:t>
      </w:r>
    </w:p>
    <w:p>
      <w:pPr>
        <w:pStyle w:val="Heading2"/>
      </w:pPr>
      <w:r>
        <w:t>Erwägungen</w:t>
      </w:r>
    </w:p>
    <w:p>
      <w:r>
        <w:rPr>
          <w:b/>
        </w:rPr>
        <w:t>E. 3</w:t>
      </w:r>
    </w:p>
    <w:p>
      <w:r>
        <w:t>Premesse delle prestazioni Una fornitura di prestazioni presuppone sia la neces­sità regolare di prestazioni della cura di base e di trattamento dell'assicurazione obbligatoria delle cure medico-sanitarie, sia la necessità di cure ai sensi dell'art. 4." (cfr. doc. _) " Art.</w:t>
      </w:r>
    </w:p>
    <w:p>
      <w:r>
        <w:rPr>
          <w:b/>
        </w:rPr>
        <w:t>E. 4</w:t>
      </w:r>
    </w:p>
    <w:p>
      <w:r>
        <w:t>Necessità di cure La necessità di cure sussiste quando la persona assi­curata, a causa di un danno alla salute, deve ricor­rere più volte a settimana all'aiuto di terzi per attività della vita quotidiana, p. es. l'assunzione di cibo, l'igiene del corpo o la mobilità, e inoltre necessita di sostegno per le faccende di casa." (cfr. doc. _) Secondo l’art. 5 delle CSA __________ le prestazioni vengono corrisposte per i costi non coperti per assistenza e aiuto domiciliare in caso di cura ambulatoriale a casa sino all’ammontare della somma forfetaria “come complemento delle prestazioni dell’assicurazione obbligatoria delle cure medico sanitarie”. Nel caso di cura ambulatoriale (art. 7 CSA __________): " Art.</w:t>
      </w:r>
    </w:p>
    <w:p>
      <w:r>
        <w:rPr>
          <w:b/>
        </w:rPr>
        <w:t>E. 7</w:t>
      </w:r>
    </w:p>
    <w:p>
      <w:r>
        <w:t>Cura ambulatoriale Esiste un diritto a prestazioni se sono soddisfatte le condizioni di prestazione ai sensi dell'art. 3, se il trattamento è necessario dal profilo medico e se la cura ambulatoriale a casa avviene tramite un'organiz­zazione di cura medico-sanitaria e assistenza a domicilio riconosciuta ai sensi della legge federale sull'assicurazione malattie o tramite infermiere oppure infermieri o tramite servizi d'assistenza. Art. 7.2 Aiuto domiciliare Se è necessario l'intervento di un aiuto domiciliare a pagamento, le somme forfetarie giornaliere vengono corrisposte nell'ambito delle prestazioni assicurate. E' considerata persona autorizzata a prestare aiuto domiciliare chi, per professione propria o per un'orga­nizzazione, si occupa dell'economia domestica per conto dell'assicurato. E' riconosciuta quale persona autorizzata a prestare aiuto domiciliare chi si occupa dell'economia domestica per conto di una persona assicurata ammalata e pertanto subisce in modo documentabile una perdita di guadagno nella sua vita professionale." (cfr. doc. _) L’inizio delle prestazioni è previsto alla fine del termine d’attesa, in caso di ricadute entro 12 mesi viene meno il termine d’attesa (art. 8 CSA __________). Le prestazioni vengono fornite per un periodo indeterminato (art. 9 CSA __________) se esiste una indicazione medica durevole e la persona interessata deve inoltrare un certificato medico ogni 6 mesi. Per l’assicuratore tornano applicabili, nel concreto caso, i termini dell’art. 23 delle “Condizioni generali dell’assicurazione (CGA) per le assicurazioni integrative di malattia (AIM)” che prevede testualmente: " Art. 23 Sussidiarietà e prestazioni di terzi 1 Tutte le prestazioni secondo le presenti Condizioni Generali d'Assicurazione e le Condizioni Supplementari d'Assicurazione sono sempre accordate a complemento di assicuratori stranieri o svizzeri, sociali e privati, in particolare anche nei confronti dell'as­sicurazione obbligatoria delle cure medico-sanitarie. 2 Quando ci sono più assicuratori tenuti a corrispondere prestazio­ni, I'__________ corrisponde prestazioni in modo proporzionale. 3 Se per le conseguenze della malattia o dell'infortunio ci sono dei terzi responsabili tenuti a corrispondere prestazioni, I'__________ accorda le sue prestazioni con riserva dell'art. 24 CGA, soltanto quando i terzi hanno corrisposto le loro prestazioni e solo nella mi­sura in cui, conto tenuto delle prestazioni di terzi, non ne risulti un guadagno per l'assicurato." (cfr. doc. _) La norma richiama al suo capoverso 3, cui in particolare fa riferimento l’assicuratore per negare le prestazioni alla signora __________, l’art. 24 delle stesse CGA del seguente tenore: " Art. 24 Anticipo di prestazioni e diritto di regresso 1 L'__________ può anticipare le prestazioni a condizione che gli as­sicurati le cedano i loro diritti nei confronti dei terzi tenuti a pre­stazione fino a concorrenza delle prestazioni da lei corrisposte e si impegnino a non intraprendere nulla che potrebbe ostacolare l'eventuale diritto di regresso nei confronti di terzi. 2 Se gli assicurati prendono accordi, senza l'approvazione dell'__________, con terzi tenuti a corrispondere prestazioni, con i quali essi rinunciano completamente o parzialmente alle prestazioni assicura­tive o di risarcimento del danno, il diritto alle prestazioni dell'__________ viene a cadere." (cfr. doc. _) 2.3.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è sufficiente descriverne la categoria in modo preciso e non equivoco cosi che non sussista, tenuto conto del contesto, alcun dubbio sulla portata del rischio assicurato (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2.4.   Nel caso concreto le parti hanno voluto prevedere una copertura delle spese derivate dall’aiuto domiciliare per le persone malate ed in cura, per le quali sono necessarie cure medico sanitarie previste come obbligatorie dalla LAMal. In altri termini sussiste un intervento dell’assicuratore, obbligatorio ai sensi di legge, e sussiste una necessità di cura per la persona assicurata poiché, a causa del danno alla salute, la stessa deve far capo, più volte alla settimana all’aiuto di terzi per attività della vita quotidiana. A titolo esemplativo la regola contrattuale prevede l’assunzione di cibo, la mobilità, il sostegno nelle faccende domestiche. Nel caso concreto queste condizioni appaiono assolutamente realizzate. In effetti __________, come ha doverosamente dimostrato all’assicuratore mediante produzione di due certificati medici, ha comprovato – circostanza che l’assicuratore non aveva mai comunque contestato in precedenza ammettendo gli estremi per un suo intervento in favore della signora __________ a pagamento delle spese di aiuto domiciliare – di essere affetta da gravi patologie. Il dott. __________ indica un diabete mellito, una polineuropatia/periferica, una poliartrosi ed una ipertensione arteriosa in una persona di 77 anni. Nello scritto 15 febbraio 2002 (doc. _) prodotto da __________ si desume che le affezioni di cui soffre la signora __________ sono ben più importanti di quelle indicate dal dott. __________ nel suo certificato medico citato. Nella lettera del capo servizio dott. __________ al medico curante della signora __________ emerge un quadro medico complesso che la Cassa non ha validamente posto in discussione od in qualche modo validamente contestato, vi si legge in particolare: " (…) DIAGNOSI: 1 Riesacerbazione di nota sindrome cervicale e lombovertebrale con disturbi deambulatori M54.5 2 Sindrome lombovertebrale e ileosacrale sinistra su scoliosi lombare destra convessa M41.9 ipolordosi lombare, spondilosi con discopatie multiple, listesi L4 e lieve osteoporosi M43.0 M47.9 3    Omartrosi bilaterale con periartropatia scapolo omerale destra                                                                                 M19.8 4    Coxartrosi bilaterale maggiore a destra con periartropatia coxae sinistra                                               M16.9 5    Sindrome cervicale su grave ipolordosi cervicale, grave spondilosi con discopatie multiple e M54.5 stenosi foramlnale C4-C5 a destra M54.5 6 DM li non insulino-dipendente con polineuropatia senso-motorica agli arti inferiori in                                     E11.4 trattamento con ADO 7    Disturbo ventilatorio ostruttivo                                            J44.9 8    Rinite asciutta                                                                     J31.0 9    ITA trattata                                                                          I10 10  Possibili segni di insufficienza vertebrobasilare con sindrome vertiginosa di possibile eziologia multifattoriale (crisi ipoglicemiche intercorrenti, polineurite diabetica agli arti inferiori ed esiti d'ischemia cerebellare)." Oltre alle diagnosi collaterali riportate sub. 1.1. Nella discussione del caso il medico indica come: " In data 06.02.2002 la paziente viene dimessa al proprio domicilio dove abita da sola, ma é ben seguita dal servizio aiuto domiciliare che passa due volte per settimana." (cfr. doc. _ riportato per esteso sub. 1.1) A non averne dubbio le condizioni per l’ottenimento delle prestazioni contrattuali di aiuto domiciliare appaiono date nel caso in esame. La signora __________ soffre di importanti e gravi patologie che palesemente rendono impossibile una completa gestione autonoma della vita, circostanza questa rammentata adeguatamente e sufficientemente dal dott. __________ il 7 febbraio 2002. __________ non ha infatti validamente sostenuto e dimostrato, sulla scorta di pareri medici o di valutazioni specialistiche, che con una sindrome cervicobrachiale e lombovertebrale come quella presentata dalla signora __________, accompagnata da un diabete mellito II con dipendenza da insulina in una persona di 77 anni ed 84,4 Kg, che presenta quale diagnosi collaterale una ischemia cerebellare emisferica sinistra e importante atrofia cerebrale e cerebellare, con disturbi ventilatori ostruttivi e segni di insufficienza vertebrobasilare (per non rimanere che alle più evidenti patologie della signora __________), che non sia data la condizione posta dall’art. 3 delle CSA __________ più sopra citata, rispettivamente ancora la necessità di cure, ossia di dover fare capo all’aiuto di terzi per attività della vita quotidiana rispettivamente per il sostegno nelle faccende di casa (art. 4 CSA __________). 2.5.   L’assicuratore vuole negare le sue prestazioni in virtù della voluta sussidiarietà delle prestazioni previste dall’assicurazione complementare __________ a fronte delle possibili pretese che la signora __________ potrebbe ottenere in virtù della LPC. In altri termini le prestazioni della complementare __________ sarebbero, in virtù dell’art. 23 CGA, sussidiarie rispetto a possibili diritti derivanti dalla LPC. Tale modo di procedere non può essere condiviso dal TCA. Il principio voluto dalle condizioni generali dell’assicuratore appare invece proprio di segno opposto. Il principio posto dalle condizioni d’assicurazione è quello della complementarità delle prestazioni di __________ a prestazioni private o fondate su norme del diritto pubblico, siano esse di diritto svizzero che di diritto straniero (art. 23 cpv. 1 CGA). Già questa circostanza basterebbe per obbligare __________ a fornire, secondo i termini di contratto, le sue prestazioni alla signora __________. All’assicuratore non giova citare il capoverso 2 rispettivamente 3 della medesima regola contrattuale richiamando i diritti dell'assicurato in ambito di prestazioni complementari. In effetti la semplice lettura dei disposti citati da __________ esclude che le norme si possano riferire a pretese dell'assicurato nei confronti della Cassa sulla base della LPC. Non può allora essere ritenuto in concreto un obbligo di prestazione concorrente con quello di __________ tale da permettere una riduzione delle prestazioni all’assicuratore privato (cpv. 2). Neppure il cpv. 3 dell’art. 23 delle CGA permette ad __________ di liberarsi dai suoi obblighi. Non si può infatti ritenere in concreto che “per le conseguenze della malattia …” vi siano dei terzi responsabili. L’ultimo capoverso dell’art. 23 CGA prevede infatti la possibilità per l’assicuratore di ridurre ed anche escludere le sue prestazioni quando un terzo sia responsabile dell’evento e quando vi sia un obbligo di risarcimento da parte di questi. La non applicabilità della norma citata discende dall'interpretazione della volontà delle parti che deriva dal testo stesso della norma. L’espressione di “terzi responsabili” “per le conseguenze della malattia o dell’infortunio” appare chiara. Ma anche il chiaro rinvio all’art. 24 CGA che regola l’anticipo di prestazioni ed il regresso permettono tale conclusione. In effetti __________ può anticipare le prestazioni con cessione dei diritti dell’assicurato all’assicuratore per il loro regresso nei confronti del responsabile. Quindi all’assicuratore è permesso, in caso di responsabilità di terzi nella malattia o nell’infortunio, fornire le sue prestazioni (art. 23 cpv. 3 CGA) riservata la possibilità di rivalsa verso il terzo responsabile (art. 24 cpv. 1 CGA). Nel caso specifico __________ non ha neppure sostenuto che lo stato di salute in cui versa la signora __________ - e che impone le cure domiciliari - sia riconducibile alla precisa responsabilità di terzi. Questa circostanza non solo non è espressa da __________ ma appare - in maniera evidente - non computabile con le patologie (e le condizioni fisiche) della signora __________. In altri temine appare difficile ricondurre il grave diabete e le sindromi cervicale e lombovertebrale (per non citare che due gravi malattie di cui soffre __________) all'agire illecito di un terzo. Alla luce di ciò appare chiaro l’obbligo per __________, sancito dalle norme contrattuali citate in precedenza e ribadito dall’art. 23 cpv. 1 CGA, di fornire le sue prestazioni, ciò in maniera complementare ad assicuratori privati o sociali, svizzeri o stranieri, fatta salva la responsabilità di terzi, tenuti a corrispondere prestazioni, nella malattia o nell’infortunio. In questi casi __________ può anticipare le prestazioni, ottenere la cessione dei diritti dall’assicurato e rivendicarli nei confronti del responsabile, od ancora operare un regresso nei confronti dell’assicurato beneficiario di prestazioni del terzo responsabile. 2.6.   Visto quanto precede la petizione va accolta ed alla __________ va fatto obbligo di dare seguito ai suoi obblighi contrattuali derivanti dalla sottoscrizione della copertura complementare __________ conclusa dalla signora __________ essendone pienamente dati gli estremi. Non si prelevano tasse e spese. __________ verserà ad __________, vincente in causa e patrocinata da __________, l’importo di CHF 1'200.- a titolo di ripetibili di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