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36.2002.20 vom 28. Dezember 2001</w:t>
      </w:r>
    </w:p>
    <w:p>
      <w:r>
        <w:t>TI Tribunale d'appello, 2001-12-28, IT</w:t>
      </w:r>
    </w:p>
    <w:p>
      <w:r>
        <w:rPr>
          <w:b/>
        </w:rPr>
        <w:t xml:space="preserve">Quelle: </w:t>
      </w:r>
      <w:r>
        <w:t>https://mcp.opencaselaw.ch/entscheid/ti_gerichte_36.2002.20</w:t>
      </w:r>
    </w:p>
    <w:p>
      <w:r>
        <w:t>FR: TI_GERICHTE 36.2002.20 du 28 décembre 2001</w:t>
      </w:r>
    </w:p>
    <w:p>
      <w:r>
        <w:t>IT: TI_GERICHTE 36.2002.20 del 28 dicembre 2001</w:t>
      </w:r>
    </w:p>
    <w:p>
      <w:pPr>
        <w:pStyle w:val="Heading2"/>
      </w:pPr>
      <w:r>
        <w:t>Regeste</w:t>
      </w:r>
    </w:p>
    <w:p>
      <w:r>
        <w:t>Sentenza o decisione senza scheda</w:t>
      </w:r>
    </w:p>
    <w:p>
      <w:pPr>
        <w:pStyle w:val="Heading2"/>
      </w:pPr>
      <w:r>
        <w:t>Erwägungen</w:t>
      </w:r>
    </w:p>
    <w:p>
      <w:r>
        <w:rPr>
          <w:b/>
        </w:rPr>
        <w:t>E. 2</w:t>
      </w:r>
    </w:p>
    <w:p>
      <w:r>
        <w:t>agosto 2001 no. __________, rispettivamente se il ricorrente possa porre in compensazione suoi crediti nei confronti della Cassa a deduzione dei premi. 2.3.   Giusta l'art. 61 LAMal, l'assicuratore stabilisce l'ammontare dei premi dei propri assicurati. Se la legge non prevede eccezioni, l'assicuratore riscuote dai propri assicurati premi uguali (cpv. 1). L'assicuratore può graduare i premi se è provato che i costi differiscono secondo i Cantoni e le regioni. Determinante è il luogo di domicilio dell'assicurato. Sono possibili al massimo tre graduazioni regionali per Cantone (cpv. 2). Per gli assicurati che non hanno ancora compiuto 18 anni, l'assicuratore deve fissare un premio più basso rispetto a quello degli assicurati d'età superiore (adulti). Egli è legittimato a fare altrettanto nel caso di assicurati che non hanno ancora compiuto 25 anni e che stanno svolgendo una formazione (cpv. 3). L'ammontare dei premi dell'assicurazione obbligatoria delle cure medico-sanitarie deve essere approvato dal Consiglio federale. Prima dell'approvazione, i Cantoni possono prendere posizione in merito alle tariffe dei premi previste per la loro popolazione; la procedura d'approvazione non deve esserne ritardata (cpv. 4). L'art. 90 OAMal prevede che di regola i premi devono essere pagati mensilmente. 2.4.   Il pagamento del premio non costituisce l’unico intervento finanziario dell’assicurato il quale deve anche partecipare, come impone l'art. 64 cpv. 1 LAMal,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Secondo l'art. 103 cpv. 1 OAMal, la franchigia prevista nell'articolo 64 cpv. 2 lett. a della legge ammonta a 230 franchi per anno civile dal 1° gennaio 1998 (cfr. RU 1997 2435, in precedenza fr. 150). L'importo annuo massimo dell'aliquota percentuale secondo l'articolo 64 cpv. 2 lett. b della legge ammonta a 600 franchi per gli assicurati adulti e a 300 franchi per gli assicurati che non hanno ancora compiuto 18 anni (cpv. 2). Per la riscossione della franchigia e dell'aliquota percentuale è determinante la data della cura (cpv. 3). A norma dell'art. 93 cpv. 1 OAMal,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partire dal 1° gennaio 1998 a fr. 400, 600, 1200 e 1500 (cfr. RU 1997 2435; in precedenza a 300, 600, 1200 e 1500 franchi) per gli assicurati adulti e a 150, 300 e 375 franchi per gli assicurati che non hann o ancora compiuto 18 anni. L’assicuratore che esercita questa forma d’assicurazione deve offrire tutte le franchigie opzionali. 2.5.   Va anzitutto rilevato che l’insorgente non contesta sostanzialmente di essere debitore dei premi chiesti dalla __________, egli lamenta infatti che non sarebbe diritto della Cassa pretendere il pagamento di premi non pagando a sua volta le prestazioni dovute. Egli ricorda infatti di avere “bloccato i mie pagamenti di premi” (cfr. doc. _ pag. 1). Come detto __________ sostiene di non dover pagare gli importi richiesti, per prestazioni per fatture da rimborsare da parte dell’assicuratore. Nel suo gravame il ricorrente fa anche riferimento a sussidi che non potrebbe ottenere per la mancata emanazione di una decisione dell’autorità di tassazione. La documentazione versata agli atti dall’assicuratore (corrispondenza, estratti conto) dimostra, con un sufficiente grado di verosimiglianza, la fondatezza della pretesa fatta valere nei riguardi del ricorrente. Nel dettaglio, l'importo di fr. 7'824.- richiesto con l'esecuzione n. __________ del 2 agosto 2001 è composto da premi così calcolati: Periodo                          Importo 03.06.1998                    1560.- 1999                               2340.- 2000                               2532.- 01.06.2001                    1'392.- Totale 7'824.- Non solo il ricorrente non ha contestato di dovere pagare i premi, ma neppure ha contestato l’ammontare degli stessi limitando le sue critiche di ricorso alla compensazione di suoi crediti verso la Cassa. Rilevato quindi come la __________ abbia reso verosimile l'ammontare totale dello scoperto a carico di __________, va ora esaminato se le censure sollevate dal ricorrente sono fondate. 2.6.   Come osservato in precedenza l’insorgente sostiene di aver diritto ai sussidi che non può comunque pretendere non avendo ottenuto la decisione di tassazione (in realtà dalla documentazione prodotta dallo stesso ricorrente sembra piuttosto che sia pendente un reclamo in materia di tassazione; cfr. XI/1). La questione non va risolta in questa sede. __________ è consapevole di potere domandare i sussidi. Infatti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fr. 32.000.- e delle persone sole il cui reddito non supera i fr. 20.000.-. Con decreto esecutivo del 18.11.1997, il Consiglio di Stato ha, in forza dell’art 49 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Giusta l'art. 28 LCAMal, riservato l'art. 40, il sussidio è corrisposto tramite presentazione di un'istanza scritta.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Per l'art. 54 LCAMal il sussidio retroattivo è oggetto di richiesta scritta da parte dell'assicurato all'istanza designata dal Consiglio di Stato. Tale richiesta deve specificare le motivazioni del ritardo. E` riservato l'art. 53 cpv. 2, dove il sussidio viene applicato d'ufficio. L'art. 55 LCAMal prevede che il Consiglio di Stato fa decidere nel merito delle domande di sussidio retroattivo. Le stesse sono accolte solo se suffragate da motivazioni particolari e fondate. La negligenza a giustificazione del mancato rispetto dei termini stabiliti dal regolamento non è considerata motivo valido per il riconoscimento del sussidio nella forma retroattiva. Come detto, comunque, qui non occorre chinarsi sulla problematica, non oggetto di decisione da parte dell’autorità amministrativa competente. Unica osservazione è l’avvenuta verifica di __________ presso l’Istituto delle assicurazioni sociali circa l’esistenza o meno di sussidi in favore di __________. L’Ufficio Assicurazione Malattia ha comunicato il 31 ottobre 2001 “il nostro Ufficio non ha ricevuto alcuna istanza di sussidio per gli anni 1997-2001 da parte del signor __________ ”. 2.7.   Il ricorrente fa valere di vantare un credito nei confronti della Cassa e chiede pertanto, perlomeno implicitamente, la compensazione con i premi richiestigli. Va anzitutto rilevato che l’insorgente ha prodotto alcune copie di richiami di fatture (doc. _) ed una lista dei suoi pretesi crediti (doc. _). Le fatture datano del 1998/1999. In merito la Cassa rinvia allo scritto 9 marzo 2001 (XI/4) dove indica un pagamento di un importo di CHF 3'800.-. Ora, va rammentato che la procedura in materia di assicurazioni sociali è retta dal principio inquisitorio (Untersuchungsgrundsatz, cfr. STFA del 9 maggio 2001 nella causa Z., P 36/00; STFA del 5 giugno 2000 nella causa P., I 76/00; DTF 125 V 193, consid. 2 pag. 195 e i riferimenti ivi citati). E’ dunque compito del giudice chiarire d’ufficio in modo corretto e completo i fatti giuridicamente rilevanti. Il principio inquisitorio non è incondizionato, ma trova il suo correlato nell’obbligo delle parti di collaborare (DTF 125 V 193 consid. 2 pag. 195 e i riferimenti ivi citati; G. Beati "Relazione tra diritto civile e assicurazioni sociali. Introduzione e principi generali. La recente giurisprudenza del TFA.", atti della giornata di studio del 1° giugno 1992, CFPG fascicolo 8;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del 27 dicembre 2001 nella causa P., I 603/01; STFA del 9 maggio 2001 nella causa Z., P 36/00; STFA del 9 maggio 2001 nella causa L., P 52/00; STFA dell'8 settembre 2000 nella causa M., C 178/99; DLA 2000 N. 25, consid. 3 pag. 123-124; DLA 1996/1997 N. 17, consid. 2 pag. 83-84; SVR 1995 AHV Nr. 57 pag. 164 consid. 5a; RAMI 1994 pag. 211; RAMI 1993 pag. 158-159 consid. 3a).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Dagli atti risulta che __________ lamenta il mancato rimborso di spese mediche durante gli anni 1998/1999 per prestazioni ottenute da vari medici ticinesi (dott. __________, __________, __________, __________, __________) asserendo che le fatture sono state trasmesse alla __________ per i necessari conteggi. Dal canto suo genericamente la Cassa rammenta pagamenti per CHF 3'800.- senza precisazione alcuna ulteriore. L’assicurato non ha prodotto conteggi dell’amministrazione e non indica neppure di avere sollecitato l’emanazione di decisioni formali in merito alle sue pretese. La questione non va comunque ulteriormente approfondita a prescindere da questa circostanza, infatti, la censura va in ogni caso respinta. La compensazione tra i premi dovuti dagli assicurati e le eventuali prestazioni a carico della Cassa non è possibile. In una sentenza del 16 luglio 1984 pubblicata in DTF 110 V 183 il TFA ha precisato che le casse malati riconosciute possono compensare prestazioni assicurative scadute con crediti di pagamento di quote arretrate. Pari diritto non spetta agli assicurati. L'alta Corte ha in particolare affermato: "</w:t>
      </w:r>
    </w:p>
    <w:p>
      <w:r>
        <w:rPr>
          <w:b/>
        </w:rPr>
        <w:t>E. 3</w:t>
      </w:r>
    </w:p>
    <w:p>
      <w:r>
        <w:t>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 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 rechts, auch in der Krankenversicherung das Recht zur Verrechnung einseitig nur den - öffentlichen und privaten - Krankenkassen einzuräumen. In diesem Sinn eist die bisherige Rechtsprechung zu ändern." (DTF 110 V 183) In una sentenza del 30 aprile 1996 il TFA, ha lasciato irrisolto il tema di sapere se al ricorrente fosse consentito di estinguere un proprio debito invocando la compensazione, considerato come il credito della cassa era ormai perento (DTF 122 V 331). La dottrina, a proposito della compensazione dei premi con le prestazioni dovute dall'assicuratore malattia, ricorda che, in mancanza di regolamentazione, la compensazione, nell'ambito della LAMI, poteva essere invocata unicamente dall'assicuratore e non dall'assicurato. Neppure la LAMal, e la relativa ordinanza, contengono disposizioni in merito. Secondo la dottrina la precedente giurisprudenza conserva la sua validità anche nel nuovo regime (J.-L. Duc, in Recueil de travaux en l'honneur de la Société Suisse de droit des assurances, Losanna 1997, pag. 469ss). In queste circostanze, considerata la giurisprudenza applicabile in concreto e la dottrina, a mente del TCA le richieste di __________ tendenti alla compensazione dei premi scaduti con le pretese avanzate relative a rimborsi non possono trovare accoglimento. Sarà compito della Cassa, senza perdita di tempo, verificare le fatture ancora in sospeso trasmesse dall’assicurato e procedere all’allestimento del relativo conteggio, considerando le quote di partecipazione e le franchigie dell’interessato. Non essendo stato allestito conteggio alcuno e non apparendo essere stata sollecitata l’emanazione di formali decisioni all’amministrazione non risultano in favore del ricorrente crediti ammessi dall’amministrazione. In caso di inazione della Cassa Malati __________ potrà, semmai, adire l’autorità giudiziaria per denegata giustizia per l’ottenimento delle decisioni formali che potranno poi essere impugnate in base alle norme relative al contenzioso contenute nella LAMal (art. 85 e segg. LAMal). Per quanto attiene l'importo di CHF 200.-- costituito da un credito del ricorrente verso la Cassa per occhiali, la Cassa si è così espressa: " (…) Für die Brillenentschädigung wurde Ihnen am 25.08.97 ein ASR über Fr. 200.-- zugestellt. Dieser wurde leider von Ihnen nicht eingelöst und deshalb haben wir anschliessend eine Verrechnung mit der Leistungsabrechnung Nr. __________ vom 06.07.98 über Fr. 208.05 vorgenommen (siehe auch Beilage 1). Den Restbetrag von FR. 8.05 haben wir abgeschrieben. (…)" (Doc. _) Lo stesso ricorrente ha prodotto l'estratto informatico relativo al conteggio 25 agosto 2997 per gli occhiali. La Cassa ha accertato come l' " ASR über Fr. 200.-- … wurde leider von Ihnen nicht eingelöst" ed ha operato la compensazione con l'importo di CHF 208.05 così costituito: " Fattura Laboratorio __________                           CHF 153.90 Fattura Ospedale __________                             CHF 54.15" Il conteggio data del 6 luglio 1998 indica come ricevente "Empfaenger" la signora __________ ma quale assicurato risulta essere lo stesso ricorrente (che ha indicato lo stesso indirizzo nella sua lettera 3.3.1998 (XI/3 alla __________). L'agire dell'assicuratore non è quindi soggetto a critica. 2.8.   Per quanto concerne l'incasso forzato dei premi dell’assicurazione per le cure medico sanitarie obbligatorie, il TFA ha più volte dichiarato applicabile alle casse malati (DTF 121 V 109ss.; RAMI 1983, p. 294 = DTF 109 V 46; RCC 1984, p.197), la giurisprudenza secondo cui una cassa di compensazione può rigettare un'eventuale opposizione ad un precetto esecutivo con una decisione formale che si riferisca precisamente all'esecuzione in corso, qualora avesse iniziato la procedura esecutiva per il recupero del credito senza prima avere formalmente deciso in merito alla propria pretesa. La Cassa malati, in tali casi, é dunque legittimata a rigettare l'opposizione ai sensi dell'art. 80 LEF. Alla luce degli argomenti sviluppati in precedenza, la decisione su opposizione del 28 dicembre 2001 della Cassa Malati __________ merita tutela. Di conseguenza l’opposizione interposta al precetto esecutivo dell'Ufficio Esecuzioni e Fallimenti di __________ n. __________ del 2 agosto 2001 di CHF 7'824.- oltre alle spese cifrate in CHF 70.- per il precetto e CHF 39,10 di tassa d’incasso, é rigettata in via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