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36.2001.4 vom 29. November 2000</w:t>
      </w:r>
    </w:p>
    <w:p>
      <w:r>
        <w:t>TI Tribunale d'appello, 2000-11-29, IT</w:t>
      </w:r>
    </w:p>
    <w:p>
      <w:r>
        <w:rPr>
          <w:b/>
        </w:rPr>
        <w:t xml:space="preserve">Quelle: </w:t>
      </w:r>
      <w:r>
        <w:t>https://mcp.opencaselaw.ch/entscheid/ti_gerichte_36.2001.4</w:t>
      </w:r>
    </w:p>
    <w:p>
      <w:r>
        <w:t>FR: TI_GERICHTE 36.2001.4 du 29 novembre 2000</w:t>
      </w:r>
    </w:p>
    <w:p>
      <w:r>
        <w:t>IT: TI_GERICHTE 36.2001.4 del 29 novembre 2000</w:t>
      </w:r>
    </w:p>
    <w:p>
      <w:pPr>
        <w:pStyle w:val="Heading2"/>
      </w:pPr>
      <w:r>
        <w:t>Regeste</w:t>
      </w:r>
    </w:p>
    <w:p>
      <w:r>
        <w:t>Sentenza o decisione senza scheda</w:t>
      </w:r>
    </w:p>
    <w:p>
      <w:pPr>
        <w:pStyle w:val="Heading2"/>
      </w:pPr>
      <w:r>
        <w:t>Erwägungen</w:t>
      </w:r>
    </w:p>
    <w:p>
      <w:r>
        <w:rPr>
          <w:b/>
        </w:rPr>
        <w:t>E. 12</w:t>
      </w:r>
    </w:p>
    <w:p>
      <w:r>
        <w:t>delle Condizioni generali d'assicurazione, CGA, relative all'assicurazione obbligatoria delle cure medico-sanitarie __________. Il pagamento dei premi e delle partecipazioni ai costi da parte dell'assicurato è necessario per il finanziamento dell'assicurazione malattia (art. 60 LAMal) e quindi per l'esecuzione della legge; secondo la volontà del legislatore gli assicuratori malattia devono quindi far valere le proprie pretese in via esecutiva secondo la LEF (cfr. art. 88 cpv. 1 e 2 LAMal; art. 80 LAMal; DTF 125 V 273 consid. 6c). In caso di mora dell'assicurato l'art. 9 OAMal prevede che " 1 Se, nonostante diffida, l’assicurato non paga premi o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Per l'art. 20 cpv. 1 LCAMal, inoltre, il Consiglio di Stato designa l'autorità di assistenza sociale per il pagamento dei crediti irrecuperabili relativi alle prestazioni obbligatorie previste dalla legislazione federale. Per il capoverso 3, prima di procedere al pagamento dei crediti irrecuperabili, l'istanza competente applica il sussidio per la riduzione dei premi. Per l'art. 21 LCAMal, inoltre, l'istanza designata dal Consiglio di Stato esige che l'assicuratore promuova una nuova procedura esecutiva, se è a conoscenza di circostanze che lo giustificano. P er l'art. 82 cpv. 1 del relativo Regolamento d'applicazione l’assicuratore malattie che a seguito della procedura esecutiva cui alla LCAMal ottiene un attestato di carenza di beni definitivo o un certificato di insolvenza, può chiedere all’Istituto delle assicurazioni sociali il pagamento dei crediti irrecuperabili, incluse le spese esecutive, ma esclusi gli interessi. Per il capoverso 4 l'Istituto delle assicurazioni sociali emana le direttive di procedura. La cifra 4.8 delle direttive emanate da questo Istituto in data 31 maggio 1999 relative alla richiesta di pagamento allo Stato dei premi LAMal e delle partecipazioni alle spese di cura legate all'assicurazione obbligatoria prevede in particolare che " In ossequio alla giurisprudenza oggi conosciuta, se viene rilasciato un attestato di carenza di beni (ACB) o una dichiarazione di insolvenza per assicurati coniugati, la procedura esecutiva o il rilascio della dichiarazione di insolvenza deve essere richiesto anche per il coniuge quando il contratto assicurativo è stato sottoscritto durante li periodo matrimoniale . Se per contro il contratto assicurativo è stato stipulato prima del matrimonio, la procedura esecutiva nei confronti dell'altro coniuge non è ammessa . In situazione di procedura esecutiva ammessa nei confronti dell'altra coniuge, non entra in linea di conto il tipo di regime matrimoniale (in particolare non è tenuta in considerazione un'eventuale separazione dei beni)." 2.3   Le direttive amministrative non costituiscono norme giuridiche e non sono vincolanti per il giudice delle assicurazioni sociali. Egli ne deve tuttavia tener conto per prendere la sua decisione nella misura in cui queste ultime permettono una interpretazione delle disposi­zioni legali applicabili giustificata nel caso di specie. D'altro canto, il giudice se ne deve scostare quando esse sono incompatibili con i disposti legali in esame (DTF 119 V 65 consid. 5a; RCC 1992 pag. 514, RCC 1992 pag. 220 consid. 16, DLAD 1992, p. 91, DTF 117 V 284 consid. 4c, DTF 116 V 19 consid. 3c, DTF 114 V 16 consid. 1, DTF 112 V 233 consid. 2a, DTF 110 V 267 consid. 1a, DTF 109 V 4 consid. 3a; Bois, "Procédures applicables aux requérants d'asile" in RSJ 1988 pag. 77ss; Duc-Greber, "La portée de l'art. 4 de la Constitution fédérale en droit de la sécurité sociale" in RDS 1992 II pag. 527; Cattaneo, "Les mesures préventives et de réadaptation de l'assurance-chômage", pag. 296-297). Secondo la giurisprudenza inoltre, tramite le direttive non possono essere introdotte limitazioni ad una pretesa materiale che vadano al di là di quanto previsto da leggi e ordinanze (DTF 118 V 32; DTF 109 V 169 consid. 3b). 2.4   Per l'art. 163 CCS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 3 In tale ambito, tengono conto dei bisogni dell’unione coniugale e della loro situazione personale". Secondo l'art. 166 CCS " 1 Durante la vita comune, ciascun coniuge rappresenta l’unione coniugale per i bisogni correnti della famiglia. 2 Per gli altri bisogni, un coniuge rappresenta l’unione coniugale soltanto se: 1. è stato autorizzato dall’altro o dal giudice; 2. l’affare non consente una dilazione e l’altro coniuge è impossibilitato a dare il proprio consenso per malattia, assenza o analoghi motivi. 3 Con i propri atti, ciascun coniuge obbliga se stesso e, in quanto non ecceda il potere di rappresentanza in modo riconoscibile dai terzi, solidalmente anche l’altro". Il TF ed il TFA hanno già avuto modo di stabilire che il pagamento dei premi alle assicurazioni sociali fa parte del "debito mantenimento della famiglia" ai sensi dell'art. 163 cpv. 1 CCS (DTF 125 V 430 consid. 3b e dottrina citata; RAMI 2/2000 p. 79cfr. anche DTF 119 V 25 consid. 6a; DTF 112 II 404 consid. 6; Eugster, Krankenversicherung, in Meyer-Blaser, Soziale Sicherheit, Basilea 1998, p. 182 no. 337). La conclusione di un 'assicurazione malattia obbligatoria, così come il cambiamento di assicuratore sono stati inoltre considerati come facenti parte dei bisogni correnti della famiglia ai sensi dell'art. 166 cpv. 1 CCS (Eugster op. cit. p. 182 e giurisprudenza federale citata alla N 815). In base all'art. 166 cpv. 3 CCS i coniugi rispondono quindi solidalmente tra di loro per i premi impagati, indipendentemente dal regime matrimoniale scelto (DTF 119 V 21 consid. 4e). Alla luce delle norme del diritto di famiglia e della giurisprudenza in materia, la cifra 4.8 delle direttive dell'IAS, secondo cui i coniugi rispondono solidalmente per i premi, deve essere dichiarata conforme alla legge. __________ è quindi responsabile solidalmente con il marito per il pagamento dei premi arretrati, essendo stato emesso un attestato di carenza di beni ai sensi dell'art. 115 e 149 LEF (IX, doc. _). 2.5   Pure le spese addebitate dalla Cassa malati nella decisione impugnata, possono essere riconosciute. Secondo la giurisprudenza è infatti ammissibile imputare costi di diffida proporzionali in caso di ritardo nel pagamento dei premi, come già accadeva nel vecchio diritto, e se vi è una base legale in tal senso nelle disposizioni della Cassa (RAMI 1999 KV 88 p. 440; cfr. G. Eugster, Krankenversicherung in Koll er, Müller, Rhinow, Zimmerli, Schweizerisches Bundesverwaltungsrecht, U. Meyer-Blaser, Soziale Sicherheit, Basilea 1998, p. 185 no. 185). In concreto la convenuta prevede l'addebito per gli inconvenienti, i costi d'amministrazione (spese di sollecitazione in caso di ritardo del pagamento dei premi e della partecipazione alle spese) all'art. 12 cpv. 8 delle CGA relative all'assicurazione obbligatoria delle cure medico-sanitarie __________ (X doc. _). L'importo di fr. 20 è inoltre addebitabile al comportamento della debitrice ed è adeguato (cfr. RAMI 1999 KV 88 p. 440), pertanto può essere confermato. 2.6   Visto quanto sopra, in quanto infondato, il ricorso va respinto e la decisione su opposizione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